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5"/>
      </w:pPr>
    </w:p>
    <w:p>
      <w:pPr>
        <w:spacing w:before="100" w:beforeAutospacing="1" w:after="100" w:afterAutospacing="1" w:line="480" w:lineRule="auto"/>
        <w:ind w:left="720" w:right="720" w:firstLine="720"/>
        <w:jc w:val="center"/>
        <w:rPr>
          <w:rFonts w:ascii="Times New Roman" w:hAnsi="Times New Roman" w:cs="Times New Roman"/>
          <w:b/>
          <w:bCs/>
          <w:sz w:val="24"/>
          <w:szCs w:val="24"/>
        </w:rPr>
      </w:pPr>
      <w:r>
        <w:rPr>
          <w:rFonts w:ascii="Times New Roman" w:hAnsi="Times New Roman" w:cs="Times New Roman"/>
          <w:b/>
          <w:bCs/>
          <w:sz w:val="24"/>
          <w:szCs w:val="24"/>
        </w:rPr>
        <w:t xml:space="preserve">The Effects </w:t>
      </w:r>
      <w:bookmarkStart w:id="0" w:name="_Hlk132888678"/>
      <w:r>
        <w:rPr>
          <w:rFonts w:ascii="Times New Roman" w:hAnsi="Times New Roman" w:cs="Times New Roman"/>
          <w:b/>
          <w:bCs/>
          <w:sz w:val="24"/>
          <w:szCs w:val="24"/>
        </w:rPr>
        <w:t xml:space="preserve">of Integrating a Pain Assessment Scale on the Surgical Ward Nurse’s Knowledge, Attitude, and Practice regarding Post-Operative Pain Management </w:t>
      </w:r>
      <w:bookmarkEnd w:id="0"/>
      <w:r>
        <w:rPr>
          <w:rFonts w:ascii="Times New Roman" w:hAnsi="Times New Roman" w:cs="Times New Roman"/>
          <w:b/>
          <w:bCs/>
          <w:sz w:val="24"/>
          <w:szCs w:val="24"/>
        </w:rPr>
        <w:t>in Mengo Hospital Kampala, Uganda.</w:t>
      </w:r>
    </w:p>
    <w:p>
      <w:pPr>
        <w:spacing w:before="100" w:beforeAutospacing="1" w:after="100" w:afterAutospacing="1" w:line="480" w:lineRule="auto"/>
        <w:ind w:left="720" w:right="720" w:firstLine="720"/>
        <w:jc w:val="center"/>
        <w:rPr>
          <w:rFonts w:ascii="Times New Roman" w:hAnsi="Times New Roman" w:cs="Times New Roman"/>
          <w:b/>
          <w:bCs/>
          <w:sz w:val="24"/>
          <w:szCs w:val="24"/>
        </w:rPr>
      </w:pPr>
    </w:p>
    <w:p>
      <w:pPr>
        <w:spacing w:before="100" w:beforeAutospacing="1" w:after="100" w:afterAutospacing="1" w:line="480" w:lineRule="auto"/>
        <w:ind w:left="720" w:right="720" w:firstLine="720"/>
        <w:jc w:val="center"/>
        <w:rPr>
          <w:rFonts w:ascii="Times New Roman" w:hAnsi="Times New Roman" w:cs="Times New Roman"/>
          <w:b/>
          <w:bCs/>
          <w:sz w:val="24"/>
          <w:szCs w:val="24"/>
        </w:rPr>
      </w:pPr>
      <w:r>
        <w:rPr>
          <w:rFonts w:ascii="Times New Roman" w:hAnsi="Times New Roman" w:cs="Times New Roman"/>
          <w:b/>
          <w:bCs/>
          <w:sz w:val="24"/>
          <w:szCs w:val="24"/>
        </w:rPr>
        <w:t>Nabiwande Betty Musisi</w:t>
      </w:r>
    </w:p>
    <w:p>
      <w:pPr>
        <w:spacing w:before="100" w:beforeAutospacing="1" w:after="100" w:afterAutospacing="1" w:line="480" w:lineRule="auto"/>
        <w:ind w:left="720" w:right="720" w:firstLine="720"/>
        <w:jc w:val="center"/>
        <w:rPr>
          <w:rFonts w:ascii="Times New Roman" w:hAnsi="Times New Roman" w:cs="Times New Roman"/>
          <w:b/>
          <w:bCs/>
          <w:sz w:val="24"/>
          <w:szCs w:val="24"/>
        </w:rPr>
      </w:pPr>
      <w:r>
        <w:rPr>
          <w:rFonts w:ascii="Times New Roman" w:hAnsi="Times New Roman" w:cs="Times New Roman"/>
          <w:b/>
          <w:bCs/>
          <w:sz w:val="24"/>
          <w:szCs w:val="24"/>
        </w:rPr>
        <w:t>RM17M11/065</w:t>
      </w:r>
    </w:p>
    <w:p>
      <w:pPr>
        <w:spacing w:before="100" w:beforeAutospacing="1" w:after="100" w:afterAutospacing="1" w:line="480" w:lineRule="auto"/>
        <w:ind w:left="720" w:right="720" w:firstLine="720"/>
        <w:jc w:val="center"/>
        <w:rPr>
          <w:rFonts w:ascii="Times New Roman" w:hAnsi="Times New Roman" w:cs="Times New Roman"/>
          <w:b/>
          <w:bCs/>
          <w:sz w:val="24"/>
          <w:szCs w:val="24"/>
        </w:rPr>
      </w:pPr>
      <w:r>
        <w:rPr>
          <w:rFonts w:ascii="Times New Roman" w:hAnsi="Times New Roman" w:cs="Times New Roman"/>
          <w:b/>
          <w:bCs/>
          <w:sz w:val="24"/>
          <w:szCs w:val="24"/>
        </w:rPr>
        <w:t>Dr. Sebuliba Faith (RN/M, DHT, BScN, MNS, PhD Nursing Ed.)</w:t>
      </w:r>
    </w:p>
    <w:p>
      <w:pPr>
        <w:spacing w:before="100" w:beforeAutospacing="1" w:after="100" w:afterAutospacing="1" w:line="480" w:lineRule="auto"/>
        <w:ind w:left="720" w:right="720" w:firstLine="720"/>
        <w:jc w:val="center"/>
        <w:rPr>
          <w:rFonts w:ascii="Times New Roman" w:hAnsi="Times New Roman" w:cs="Times New Roman"/>
          <w:b/>
          <w:bCs/>
          <w:sz w:val="24"/>
          <w:szCs w:val="24"/>
        </w:rPr>
      </w:pPr>
    </w:p>
    <w:p>
      <w:pPr>
        <w:spacing w:before="100" w:beforeAutospacing="1" w:after="100" w:afterAutospacing="1" w:line="480" w:lineRule="auto"/>
        <w:ind w:left="720" w:right="720" w:firstLine="720"/>
        <w:jc w:val="center"/>
        <w:rPr>
          <w:rFonts w:ascii="Times New Roman" w:hAnsi="Times New Roman" w:cs="Times New Roman"/>
          <w:b/>
          <w:bCs/>
          <w:sz w:val="24"/>
          <w:szCs w:val="24"/>
        </w:rPr>
      </w:pPr>
      <w:r>
        <w:rPr>
          <w:rFonts w:ascii="Times New Roman" w:hAnsi="Times New Roman" w:cs="Times New Roman"/>
          <w:b/>
          <w:bCs/>
          <w:sz w:val="24"/>
          <w:szCs w:val="24"/>
        </w:rPr>
        <w:t>A Dissertation Submitted to the Faculty of Healthy Sciences</w:t>
      </w:r>
      <w:r>
        <w:rPr>
          <w:rFonts w:ascii="Times New Roman" w:hAnsi="Times New Roman" w:cs="Times New Roman"/>
          <w:b/>
          <w:bCs/>
          <w:sz w:val="24"/>
          <w:szCs w:val="24"/>
        </w:rPr>
        <w:br w:type="textWrapping"/>
      </w:r>
      <w:r>
        <w:rPr>
          <w:rFonts w:ascii="Times New Roman" w:hAnsi="Times New Roman" w:cs="Times New Roman"/>
          <w:b/>
          <w:bCs/>
          <w:sz w:val="24"/>
          <w:szCs w:val="24"/>
        </w:rPr>
        <w:t>In Partial Fulfilment of the Requirements for the Award of the Degree of</w:t>
      </w:r>
      <w:r>
        <w:rPr>
          <w:rFonts w:ascii="Times New Roman" w:hAnsi="Times New Roman" w:cs="Times New Roman"/>
          <w:b/>
          <w:bCs/>
          <w:sz w:val="24"/>
          <w:szCs w:val="24"/>
        </w:rPr>
        <w:br w:type="textWrapping"/>
      </w:r>
      <w:r>
        <w:rPr>
          <w:rFonts w:ascii="Times New Roman" w:hAnsi="Times New Roman" w:cs="Times New Roman"/>
          <w:b/>
          <w:bCs/>
          <w:sz w:val="24"/>
          <w:szCs w:val="24"/>
        </w:rPr>
        <w:t>Masters in Nursing Science of</w:t>
      </w:r>
    </w:p>
    <w:p>
      <w:pPr>
        <w:spacing w:before="100" w:beforeAutospacing="1" w:after="100" w:afterAutospacing="1" w:line="480" w:lineRule="auto"/>
        <w:ind w:left="720" w:right="720" w:firstLine="720"/>
        <w:jc w:val="center"/>
        <w:rPr>
          <w:rFonts w:ascii="Times New Roman" w:hAnsi="Times New Roman" w:cs="Times New Roman"/>
          <w:b/>
          <w:bCs/>
          <w:sz w:val="24"/>
          <w:szCs w:val="24"/>
        </w:rPr>
      </w:pPr>
      <w:r>
        <w:rPr>
          <w:rFonts w:ascii="Times New Roman" w:hAnsi="Times New Roman" w:cs="Times New Roman"/>
          <w:b/>
          <w:bCs/>
          <w:sz w:val="24"/>
          <w:szCs w:val="24"/>
        </w:rPr>
        <w:t>Uganda Christian University</w:t>
      </w:r>
      <w:r>
        <w:rPr>
          <w:rFonts w:ascii="Times New Roman" w:hAnsi="Times New Roman" w:cs="Times New Roman"/>
          <w:b/>
          <w:bCs/>
          <w:sz w:val="24"/>
          <w:szCs w:val="24"/>
        </w:rPr>
        <w:br w:type="textWrapping"/>
      </w:r>
      <w:r>
        <w:rPr>
          <w:rFonts w:ascii="Times New Roman" w:hAnsi="Times New Roman" w:cs="Times New Roman"/>
          <w:b/>
          <w:bCs/>
          <w:sz w:val="24"/>
          <w:szCs w:val="24"/>
        </w:rPr>
        <w:t>Mukono, Uganda</w:t>
      </w:r>
      <w:r>
        <w:rPr>
          <w:rFonts w:ascii="Times New Roman" w:hAnsi="Times New Roman" w:cs="Times New Roman"/>
          <w:b/>
          <w:bCs/>
          <w:sz w:val="24"/>
          <w:szCs w:val="24"/>
        </w:rPr>
        <w:br w:type="textWrapping"/>
      </w:r>
      <w:r>
        <w:rPr>
          <w:rFonts w:ascii="Times New Roman" w:hAnsi="Times New Roman" w:cs="Times New Roman"/>
          <w:b/>
          <w:bCs/>
          <w:sz w:val="24"/>
          <w:szCs w:val="24"/>
        </w:rPr>
        <w:t>August, 2023</w:t>
      </w:r>
    </w:p>
    <w:p>
      <w:pPr>
        <w:spacing w:before="100" w:beforeAutospacing="1" w:after="100" w:afterAutospacing="1" w:line="480" w:lineRule="auto"/>
        <w:ind w:left="720" w:right="720" w:firstLine="720"/>
        <w:jc w:val="center"/>
        <w:rPr>
          <w:rFonts w:ascii="Times New Roman" w:hAnsi="Times New Roman" w:cs="Times New Roman"/>
          <w:b/>
          <w:bCs/>
          <w:sz w:val="24"/>
          <w:szCs w:val="24"/>
        </w:rPr>
      </w:pPr>
      <w:r>
        <w:rPr>
          <w:rFonts w:ascii="Times New Roman" w:hAnsi="Times New Roman" w:cs="Times New Roman"/>
          <w:b/>
          <w:bCs/>
          <w:sz w:val="24"/>
          <w:szCs w:val="24"/>
        </w:rPr>
        <w:t>Uganda Christian University</w:t>
      </w:r>
    </w:p>
    <w:p>
      <w:pPr>
        <w:pStyle w:val="42"/>
        <w:spacing w:line="480" w:lineRule="auto"/>
        <w:ind w:right="720"/>
        <w:rPr>
          <w:rFonts w:ascii="Times New Roman" w:hAnsi="Times New Roman" w:cs="Times New Roman"/>
          <w:b/>
          <w:bCs/>
          <w:sz w:val="24"/>
          <w:szCs w:val="24"/>
        </w:rPr>
      </w:pPr>
    </w:p>
    <w:p>
      <w:pPr>
        <w:pStyle w:val="42"/>
        <w:spacing w:line="480" w:lineRule="auto"/>
        <w:ind w:right="720"/>
        <w:rPr>
          <w:rFonts w:ascii="Times New Roman" w:hAnsi="Times New Roman" w:cs="Times New Roman"/>
          <w:b/>
          <w:bCs/>
          <w:sz w:val="24"/>
          <w:szCs w:val="24"/>
        </w:rPr>
      </w:pPr>
      <w:bookmarkStart w:id="1" w:name="_Hlk94910059"/>
    </w:p>
    <w:p>
      <w:pPr>
        <w:pStyle w:val="42"/>
        <w:spacing w:line="480" w:lineRule="auto"/>
        <w:ind w:left="720" w:right="720"/>
        <w:jc w:val="center"/>
        <w:rPr>
          <w:rFonts w:ascii="Times New Roman" w:hAnsi="Times New Roman" w:cs="Times New Roman"/>
          <w:b/>
          <w:bCs/>
          <w:sz w:val="24"/>
          <w:szCs w:val="24"/>
        </w:rPr>
      </w:pPr>
      <w:r>
        <w:rPr>
          <w:sz w:val="24"/>
        </w:rPr>
        <mc:AlternateContent>
          <mc:Choice Requires="wps">
            <w:drawing>
              <wp:anchor distT="0" distB="0" distL="114300" distR="114300" simplePos="0" relativeHeight="251676672" behindDoc="0" locked="0" layoutInCell="1" allowOverlap="1">
                <wp:simplePos x="0" y="0"/>
                <wp:positionH relativeFrom="column">
                  <wp:posOffset>2674620</wp:posOffset>
                </wp:positionH>
                <wp:positionV relativeFrom="paragraph">
                  <wp:posOffset>351790</wp:posOffset>
                </wp:positionV>
                <wp:extent cx="419100" cy="327660"/>
                <wp:effectExtent l="0" t="0" r="7620" b="7620"/>
                <wp:wrapNone/>
                <wp:docPr id="5" name="Text Box 5"/>
                <wp:cNvGraphicFramePr/>
                <a:graphic xmlns:a="http://schemas.openxmlformats.org/drawingml/2006/main">
                  <a:graphicData uri="http://schemas.microsoft.com/office/word/2010/wordprocessingShape">
                    <wps:wsp>
                      <wps:cNvSpPr txBox="1"/>
                      <wps:spPr>
                        <a:xfrm>
                          <a:off x="3589020" y="9177655"/>
                          <a:ext cx="419100" cy="3276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6pt;margin-top:27.7pt;height:25.8pt;width:33pt;z-index:251676672;mso-width-relative:page;mso-height-relative:page;" fillcolor="#FFFFFF [3201]" filled="t" stroked="f" coordsize="21600,21600" o:gfxdata="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zAa1itUAAAAKAQAADwAAAAAAAAAB&#10;ACAAAAAiAAAAZHJzL2Rvd25yZXYueG1sUEsBAhQAFAAAAAgAh07iQLfrzY9MAgAAmQQAAA4AAAAA&#10;AAAAAQAgAAAAJAEAAGRycy9lMm9Eb2MueG1sUEsFBgAAAAAGAAYAWQEAAOIFAAAAAA==&#10;">
                <v:fill on="t" focussize="0,0"/>
                <v:stroke on="f" weight="0.5pt"/>
                <v:imagedata o:title=""/>
                <o:lock v:ext="edit" aspectratio="f"/>
                <v:textbox>
                  <w:txbxContent>
                    <w:p/>
                  </w:txbxContent>
                </v:textbox>
              </v:shape>
            </w:pict>
          </mc:Fallback>
        </mc:AlternateContent>
      </w:r>
    </w:p>
    <w:p>
      <w:pPr>
        <w:pStyle w:val="42"/>
        <w:spacing w:line="480" w:lineRule="auto"/>
        <w:ind w:left="720" w:right="720"/>
        <w:jc w:val="center"/>
      </w:pPr>
    </w:p>
    <w:p>
      <w:pPr>
        <w:pStyle w:val="42"/>
        <w:tabs>
          <w:tab w:val="left" w:pos="8580"/>
        </w:tabs>
        <w:spacing w:line="480" w:lineRule="auto"/>
        <w:ind w:left="-440" w:leftChars="0" w:right="720" w:firstLine="0" w:firstLineChars="0"/>
        <w:jc w:val="center"/>
        <w:rPr>
          <w:rStyle w:val="39"/>
          <w:rFonts w:ascii="Times New Roman" w:hAnsi="Times New Roman" w:cs="Times New Roman"/>
          <w:sz w:val="24"/>
          <w:szCs w:val="24"/>
        </w:rPr>
      </w:pPr>
      <w:r>
        <w:drawing>
          <wp:inline distT="0" distB="0" distL="114300" distR="114300">
            <wp:extent cx="6857365" cy="6983730"/>
            <wp:effectExtent l="0" t="0" r="0" b="1143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3"/>
                    <a:srcRect l="2957" r="-2218" b="14319"/>
                    <a:stretch>
                      <a:fillRect/>
                    </a:stretch>
                  </pic:blipFill>
                  <pic:spPr>
                    <a:xfrm>
                      <a:off x="0" y="0"/>
                      <a:ext cx="6857365" cy="6983730"/>
                    </a:xfrm>
                    <a:prstGeom prst="rect">
                      <a:avLst/>
                    </a:prstGeom>
                    <a:noFill/>
                    <a:ln>
                      <a:noFill/>
                    </a:ln>
                  </pic:spPr>
                </pic:pic>
              </a:graphicData>
            </a:graphic>
          </wp:inline>
        </w:drawing>
      </w:r>
    </w:p>
    <w:p>
      <w:pPr>
        <w:pStyle w:val="42"/>
        <w:spacing w:line="480" w:lineRule="auto"/>
        <w:ind w:left="720" w:right="720"/>
        <w:rPr>
          <w:rStyle w:val="39"/>
          <w:rFonts w:ascii="Times New Roman" w:hAnsi="Times New Roman" w:cs="Times New Roman"/>
          <w:sz w:val="24"/>
          <w:szCs w:val="24"/>
        </w:rPr>
      </w:pPr>
    </w:p>
    <w:p>
      <w:pPr>
        <w:pStyle w:val="42"/>
        <w:tabs>
          <w:tab w:val="left" w:pos="9180"/>
        </w:tabs>
        <w:spacing w:line="480" w:lineRule="auto"/>
        <w:ind w:left="90" w:right="180"/>
        <w:jc w:val="both"/>
      </w:pPr>
    </w:p>
    <w:p>
      <w:pPr>
        <w:pStyle w:val="42"/>
        <w:tabs>
          <w:tab w:val="left" w:pos="9180"/>
        </w:tabs>
        <w:spacing w:line="480" w:lineRule="auto"/>
        <w:ind w:left="90" w:right="180"/>
        <w:jc w:val="both"/>
        <w:rPr>
          <w:rStyle w:val="39"/>
          <w:rFonts w:ascii="Times New Roman" w:hAnsi="Times New Roman" w:cs="Times New Roman"/>
          <w:sz w:val="24"/>
          <w:szCs w:val="24"/>
        </w:rPr>
      </w:pPr>
      <w:r>
        <w:drawing>
          <wp:inline distT="0" distB="0" distL="114300" distR="114300">
            <wp:extent cx="5539740" cy="6026150"/>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rcRect l="1929" r="1374" b="23517"/>
                    <a:stretch>
                      <a:fillRect/>
                    </a:stretch>
                  </pic:blipFill>
                  <pic:spPr>
                    <a:xfrm>
                      <a:off x="0" y="0"/>
                      <a:ext cx="5539740" cy="6026150"/>
                    </a:xfrm>
                    <a:prstGeom prst="rect">
                      <a:avLst/>
                    </a:prstGeom>
                    <a:noFill/>
                    <a:ln>
                      <a:noFill/>
                    </a:ln>
                  </pic:spPr>
                </pic:pic>
              </a:graphicData>
            </a:graphic>
          </wp:inline>
        </w:drawing>
      </w:r>
    </w:p>
    <w:p>
      <w:pPr>
        <w:pStyle w:val="42"/>
        <w:spacing w:line="480" w:lineRule="auto"/>
        <w:ind w:left="720" w:right="720"/>
        <w:rPr>
          <w:rStyle w:val="39"/>
          <w:rFonts w:ascii="Times New Roman" w:hAnsi="Times New Roman" w:cs="Times New Roman"/>
          <w:sz w:val="24"/>
          <w:szCs w:val="24"/>
        </w:rPr>
      </w:pPr>
    </w:p>
    <w:p>
      <w:pPr>
        <w:pStyle w:val="42"/>
        <w:spacing w:line="480" w:lineRule="auto"/>
        <w:ind w:left="720" w:right="720"/>
        <w:rPr>
          <w:rStyle w:val="39"/>
          <w:rFonts w:ascii="Times New Roman" w:hAnsi="Times New Roman" w:cs="Times New Roman"/>
          <w:sz w:val="24"/>
          <w:szCs w:val="24"/>
        </w:rPr>
      </w:pPr>
      <w:bookmarkStart w:id="268" w:name="_GoBack"/>
      <w:bookmarkEnd w:id="268"/>
    </w:p>
    <w:p>
      <w:pPr>
        <w:pStyle w:val="42"/>
        <w:spacing w:line="480" w:lineRule="auto"/>
        <w:ind w:right="720"/>
        <w:rPr>
          <w:rFonts w:ascii="Times New Roman" w:hAnsi="Times New Roman" w:cs="Times New Roman"/>
          <w:b/>
          <w:bCs/>
          <w:sz w:val="24"/>
          <w:szCs w:val="24"/>
        </w:rPr>
      </w:pPr>
    </w:p>
    <w:p>
      <w:pPr>
        <w:pStyle w:val="3"/>
        <w:spacing w:line="480" w:lineRule="auto"/>
        <w:jc w:val="center"/>
        <w:rPr>
          <w:rFonts w:ascii="Times New Roman" w:hAnsi="Times New Roman" w:cs="Times New Roman"/>
          <w:b w:val="0"/>
          <w:sz w:val="24"/>
          <w:szCs w:val="24"/>
        </w:rPr>
      </w:pPr>
      <w:bookmarkStart w:id="2" w:name="_Toc142753368"/>
      <w:r>
        <w:rPr>
          <w:rFonts w:ascii="Times New Roman" w:hAnsi="Times New Roman" w:cs="Times New Roman"/>
          <w:sz w:val="24"/>
          <w:szCs w:val="24"/>
        </w:rPr>
        <w:t>Acknowledgement</w:t>
      </w:r>
      <w:bookmarkEnd w:id="2"/>
    </w:p>
    <w:p>
      <w:pPr>
        <w:pStyle w:val="42"/>
        <w:spacing w:line="480" w:lineRule="auto"/>
        <w:ind w:right="90"/>
        <w:jc w:val="both"/>
        <w:rPr>
          <w:rFonts w:ascii="Times New Roman" w:hAnsi="Times New Roman" w:cs="Times New Roman"/>
          <w:sz w:val="24"/>
          <w:szCs w:val="24"/>
        </w:rPr>
      </w:pPr>
      <w:r>
        <w:rPr>
          <w:rFonts w:ascii="Times New Roman" w:hAnsi="Times New Roman" w:cs="Times New Roman"/>
          <w:sz w:val="24"/>
          <w:szCs w:val="24"/>
        </w:rPr>
        <w:t xml:space="preserve">Words can’t express my gratitude to my supervisor Dr. Faith Sebuliba for her invaluable patience and feedback. I wouldn’t have taken this journey without your support, always provided knowledge and expertise. </w:t>
      </w:r>
    </w:p>
    <w:p>
      <w:pPr>
        <w:pStyle w:val="42"/>
        <w:spacing w:line="480" w:lineRule="auto"/>
        <w:ind w:right="720"/>
        <w:jc w:val="both"/>
        <w:rPr>
          <w:rFonts w:ascii="Times New Roman" w:hAnsi="Times New Roman" w:cs="Times New Roman"/>
          <w:sz w:val="24"/>
          <w:szCs w:val="24"/>
        </w:rPr>
      </w:pPr>
      <w:r>
        <w:rPr>
          <w:rFonts w:ascii="Times New Roman" w:hAnsi="Times New Roman" w:cs="Times New Roman"/>
          <w:sz w:val="24"/>
          <w:szCs w:val="24"/>
        </w:rPr>
        <w:t>Additionally, this endeavor wouldn’t have been possible without the generous support from my husband and family, who financed my research so far.</w:t>
      </w:r>
    </w:p>
    <w:p>
      <w:pPr>
        <w:pStyle w:val="42"/>
        <w:spacing w:line="480" w:lineRule="auto"/>
        <w:ind w:right="720"/>
        <w:rPr>
          <w:rFonts w:ascii="Times New Roman" w:hAnsi="Times New Roman" w:cs="Times New Roman"/>
          <w:sz w:val="24"/>
          <w:szCs w:val="24"/>
        </w:rPr>
      </w:pPr>
      <w:r>
        <w:rPr>
          <w:rFonts w:ascii="Times New Roman" w:hAnsi="Times New Roman" w:cs="Times New Roman"/>
          <w:sz w:val="24"/>
          <w:szCs w:val="24"/>
        </w:rPr>
        <w:t xml:space="preserve">Additionally, am so grateful to my colleagues in MN8 class for their editing help, effort rendered, thank you so much. </w:t>
      </w:r>
    </w:p>
    <w:p>
      <w:pPr>
        <w:pStyle w:val="42"/>
        <w:spacing w:line="480" w:lineRule="auto"/>
        <w:ind w:left="720" w:right="720"/>
        <w:rPr>
          <w:rFonts w:ascii="Times New Roman" w:hAnsi="Times New Roman" w:cs="Times New Roman"/>
          <w:sz w:val="24"/>
          <w:szCs w:val="24"/>
        </w:rPr>
      </w:pPr>
    </w:p>
    <w:p>
      <w:pPr>
        <w:pStyle w:val="42"/>
        <w:spacing w:line="480" w:lineRule="auto"/>
        <w:ind w:left="720" w:right="720"/>
        <w:rPr>
          <w:rFonts w:ascii="Times New Roman" w:hAnsi="Times New Roman" w:cs="Times New Roman"/>
          <w:sz w:val="24"/>
          <w:szCs w:val="24"/>
        </w:rPr>
      </w:pPr>
    </w:p>
    <w:p>
      <w:pPr>
        <w:pStyle w:val="42"/>
        <w:spacing w:line="480" w:lineRule="auto"/>
        <w:ind w:left="720" w:right="720"/>
        <w:rPr>
          <w:rFonts w:ascii="Times New Roman" w:hAnsi="Times New Roman" w:cs="Times New Roman"/>
          <w:sz w:val="24"/>
          <w:szCs w:val="24"/>
        </w:rPr>
      </w:pPr>
    </w:p>
    <w:p>
      <w:pPr>
        <w:pStyle w:val="42"/>
        <w:spacing w:line="480" w:lineRule="auto"/>
        <w:ind w:left="720" w:right="720"/>
        <w:rPr>
          <w:rFonts w:ascii="Times New Roman" w:hAnsi="Times New Roman" w:cs="Times New Roman"/>
          <w:sz w:val="24"/>
          <w:szCs w:val="24"/>
        </w:rPr>
      </w:pPr>
    </w:p>
    <w:p>
      <w:pPr>
        <w:pStyle w:val="42"/>
        <w:spacing w:line="480" w:lineRule="auto"/>
        <w:ind w:left="720" w:right="720"/>
        <w:rPr>
          <w:rFonts w:ascii="Times New Roman" w:hAnsi="Times New Roman" w:cs="Times New Roman"/>
          <w:sz w:val="24"/>
          <w:szCs w:val="24"/>
        </w:rPr>
      </w:pPr>
    </w:p>
    <w:p>
      <w:pPr>
        <w:pStyle w:val="42"/>
        <w:spacing w:line="480" w:lineRule="auto"/>
        <w:ind w:left="720" w:right="720"/>
        <w:rPr>
          <w:rFonts w:ascii="Times New Roman" w:hAnsi="Times New Roman" w:cs="Times New Roman"/>
          <w:sz w:val="24"/>
          <w:szCs w:val="24"/>
        </w:rPr>
      </w:pPr>
    </w:p>
    <w:p>
      <w:pPr>
        <w:pStyle w:val="42"/>
        <w:spacing w:line="480" w:lineRule="auto"/>
        <w:ind w:left="720" w:right="720"/>
        <w:rPr>
          <w:rFonts w:ascii="Times New Roman" w:hAnsi="Times New Roman" w:cs="Times New Roman"/>
          <w:sz w:val="24"/>
          <w:szCs w:val="24"/>
        </w:rPr>
      </w:pPr>
    </w:p>
    <w:p>
      <w:pPr>
        <w:pStyle w:val="42"/>
        <w:spacing w:line="480" w:lineRule="auto"/>
        <w:ind w:left="720" w:right="720"/>
        <w:rPr>
          <w:rFonts w:ascii="Times New Roman" w:hAnsi="Times New Roman" w:cs="Times New Roman"/>
          <w:sz w:val="24"/>
          <w:szCs w:val="24"/>
        </w:rPr>
      </w:pPr>
    </w:p>
    <w:p>
      <w:pPr>
        <w:pStyle w:val="42"/>
        <w:spacing w:line="480" w:lineRule="auto"/>
        <w:ind w:left="720" w:right="720"/>
        <w:rPr>
          <w:rFonts w:ascii="Times New Roman" w:hAnsi="Times New Roman" w:cs="Times New Roman"/>
          <w:sz w:val="24"/>
          <w:szCs w:val="24"/>
        </w:rPr>
      </w:pPr>
    </w:p>
    <w:p>
      <w:pPr>
        <w:pStyle w:val="42"/>
        <w:spacing w:line="480" w:lineRule="auto"/>
        <w:ind w:left="720" w:right="720"/>
        <w:rPr>
          <w:rFonts w:ascii="Times New Roman" w:hAnsi="Times New Roman" w:cs="Times New Roman"/>
          <w:sz w:val="24"/>
          <w:szCs w:val="24"/>
        </w:rPr>
      </w:pPr>
    </w:p>
    <w:p>
      <w:pPr>
        <w:pStyle w:val="42"/>
        <w:spacing w:line="480" w:lineRule="auto"/>
        <w:ind w:left="720" w:right="720"/>
        <w:rPr>
          <w:rFonts w:ascii="Times New Roman" w:hAnsi="Times New Roman" w:cs="Times New Roman"/>
          <w:sz w:val="24"/>
          <w:szCs w:val="24"/>
        </w:rPr>
      </w:pPr>
    </w:p>
    <w:p>
      <w:pPr>
        <w:pStyle w:val="42"/>
        <w:spacing w:line="480" w:lineRule="auto"/>
        <w:ind w:left="720" w:right="720"/>
        <w:rPr>
          <w:rFonts w:ascii="Times New Roman" w:hAnsi="Times New Roman" w:cs="Times New Roman"/>
          <w:sz w:val="24"/>
          <w:szCs w:val="24"/>
        </w:rPr>
      </w:pPr>
    </w:p>
    <w:p>
      <w:pPr>
        <w:pStyle w:val="42"/>
        <w:spacing w:line="480" w:lineRule="auto"/>
        <w:ind w:left="720" w:right="720"/>
        <w:rPr>
          <w:rFonts w:ascii="Times New Roman" w:hAnsi="Times New Roman" w:cs="Times New Roman"/>
          <w:sz w:val="24"/>
          <w:szCs w:val="24"/>
        </w:rPr>
      </w:pPr>
    </w:p>
    <w:p>
      <w:pPr>
        <w:pStyle w:val="42"/>
        <w:spacing w:line="480" w:lineRule="auto"/>
        <w:ind w:left="720" w:right="720"/>
        <w:rPr>
          <w:rFonts w:ascii="Times New Roman" w:hAnsi="Times New Roman" w:cs="Times New Roman"/>
          <w:sz w:val="24"/>
          <w:szCs w:val="24"/>
        </w:rPr>
      </w:pPr>
    </w:p>
    <w:p>
      <w:pPr>
        <w:pStyle w:val="42"/>
        <w:spacing w:line="480" w:lineRule="auto"/>
        <w:ind w:left="720" w:right="720"/>
        <w:rPr>
          <w:rFonts w:ascii="Times New Roman" w:hAnsi="Times New Roman" w:cs="Times New Roman"/>
          <w:sz w:val="24"/>
          <w:szCs w:val="24"/>
        </w:rPr>
      </w:pPr>
    </w:p>
    <w:p>
      <w:pPr>
        <w:pStyle w:val="3"/>
        <w:spacing w:line="480" w:lineRule="auto"/>
        <w:jc w:val="center"/>
        <w:rPr>
          <w:rStyle w:val="39"/>
          <w:rFonts w:ascii="Times New Roman" w:hAnsi="Times New Roman" w:cs="Times New Roman"/>
          <w:b w:val="0"/>
          <w:bCs/>
          <w:sz w:val="24"/>
          <w:szCs w:val="24"/>
        </w:rPr>
      </w:pPr>
      <w:bookmarkStart w:id="3" w:name="_Toc142753369"/>
      <w:r>
        <w:rPr>
          <w:rStyle w:val="39"/>
          <w:rFonts w:ascii="Times New Roman" w:hAnsi="Times New Roman" w:cs="Times New Roman"/>
          <w:bCs/>
          <w:sz w:val="24"/>
          <w:szCs w:val="24"/>
        </w:rPr>
        <w:t>Dedication</w:t>
      </w:r>
      <w:bookmarkEnd w:id="3"/>
    </w:p>
    <w:p>
      <w:pPr>
        <w:pStyle w:val="42"/>
        <w:spacing w:line="480" w:lineRule="auto"/>
        <w:ind w:right="90"/>
        <w:jc w:val="both"/>
        <w:rPr>
          <w:rStyle w:val="39"/>
          <w:rFonts w:ascii="Times New Roman" w:hAnsi="Times New Roman" w:cs="Times New Roman"/>
          <w:sz w:val="24"/>
          <w:szCs w:val="24"/>
        </w:rPr>
      </w:pPr>
      <w:r>
        <w:rPr>
          <w:rStyle w:val="39"/>
          <w:rFonts w:ascii="Times New Roman" w:hAnsi="Times New Roman" w:cs="Times New Roman"/>
          <w:sz w:val="24"/>
          <w:szCs w:val="24"/>
        </w:rPr>
        <w:t>I dedicate this research to my husband Peter Mutesasira and my dear children Pius, Pretty, Praise, and Phillip. My family has been patient with me, thank you for your daily prayers.</w:t>
      </w:r>
    </w:p>
    <w:p>
      <w:pPr>
        <w:pStyle w:val="42"/>
        <w:spacing w:line="480" w:lineRule="auto"/>
        <w:ind w:left="720" w:right="720"/>
        <w:rPr>
          <w:rFonts w:ascii="Times New Roman" w:hAnsi="Times New Roman" w:cs="Times New Roman"/>
          <w:sz w:val="24"/>
          <w:szCs w:val="24"/>
        </w:rPr>
      </w:pPr>
    </w:p>
    <w:p>
      <w:pPr>
        <w:pStyle w:val="42"/>
        <w:spacing w:line="480" w:lineRule="auto"/>
        <w:ind w:left="720" w:right="720"/>
        <w:rPr>
          <w:rFonts w:ascii="Times New Roman" w:hAnsi="Times New Roman" w:cs="Times New Roman"/>
          <w:sz w:val="24"/>
          <w:szCs w:val="24"/>
        </w:rPr>
      </w:pPr>
    </w:p>
    <w:p>
      <w:pPr>
        <w:pStyle w:val="42"/>
        <w:spacing w:line="480" w:lineRule="auto"/>
        <w:ind w:left="720" w:right="720"/>
        <w:rPr>
          <w:rFonts w:ascii="Times New Roman" w:hAnsi="Times New Roman" w:cs="Times New Roman"/>
          <w:b/>
          <w:bCs/>
          <w:sz w:val="24"/>
          <w:szCs w:val="24"/>
        </w:rPr>
      </w:pPr>
    </w:p>
    <w:p>
      <w:pPr>
        <w:pStyle w:val="42"/>
        <w:spacing w:line="480" w:lineRule="auto"/>
        <w:ind w:left="720" w:right="720"/>
        <w:rPr>
          <w:rFonts w:ascii="Times New Roman" w:hAnsi="Times New Roman" w:cs="Times New Roman"/>
          <w:b/>
          <w:bCs/>
          <w:sz w:val="24"/>
          <w:szCs w:val="24"/>
        </w:rPr>
      </w:pPr>
    </w:p>
    <w:p>
      <w:pPr>
        <w:pStyle w:val="42"/>
        <w:spacing w:line="480" w:lineRule="auto"/>
        <w:ind w:left="720" w:right="720"/>
        <w:rPr>
          <w:rFonts w:ascii="Times New Roman" w:hAnsi="Times New Roman" w:cs="Times New Roman"/>
          <w:b/>
          <w:bCs/>
          <w:sz w:val="24"/>
          <w:szCs w:val="24"/>
        </w:rPr>
      </w:pPr>
    </w:p>
    <w:p>
      <w:pPr>
        <w:pStyle w:val="42"/>
        <w:spacing w:line="480" w:lineRule="auto"/>
        <w:ind w:left="720" w:right="720"/>
        <w:rPr>
          <w:rFonts w:ascii="Times New Roman" w:hAnsi="Times New Roman" w:cs="Times New Roman"/>
          <w:b/>
          <w:bCs/>
          <w:sz w:val="24"/>
          <w:szCs w:val="24"/>
        </w:rPr>
      </w:pPr>
    </w:p>
    <w:p>
      <w:pPr>
        <w:pStyle w:val="42"/>
        <w:spacing w:line="480" w:lineRule="auto"/>
        <w:ind w:left="720" w:right="720"/>
        <w:rPr>
          <w:rFonts w:ascii="Times New Roman" w:hAnsi="Times New Roman" w:cs="Times New Roman"/>
          <w:b/>
          <w:bCs/>
          <w:sz w:val="24"/>
          <w:szCs w:val="24"/>
        </w:rPr>
      </w:pPr>
    </w:p>
    <w:p>
      <w:pPr>
        <w:pStyle w:val="42"/>
        <w:spacing w:line="480" w:lineRule="auto"/>
        <w:ind w:left="720" w:right="720"/>
        <w:rPr>
          <w:rFonts w:ascii="Times New Roman" w:hAnsi="Times New Roman" w:cs="Times New Roman"/>
          <w:b/>
          <w:bCs/>
          <w:sz w:val="24"/>
          <w:szCs w:val="24"/>
        </w:rPr>
      </w:pPr>
    </w:p>
    <w:p>
      <w:pPr>
        <w:pStyle w:val="42"/>
        <w:spacing w:line="480" w:lineRule="auto"/>
        <w:ind w:left="720" w:right="720"/>
        <w:rPr>
          <w:rFonts w:ascii="Times New Roman" w:hAnsi="Times New Roman" w:cs="Times New Roman"/>
          <w:b/>
          <w:bCs/>
          <w:sz w:val="24"/>
          <w:szCs w:val="24"/>
        </w:rPr>
      </w:pPr>
    </w:p>
    <w:p>
      <w:pPr>
        <w:pStyle w:val="42"/>
        <w:spacing w:line="480" w:lineRule="auto"/>
        <w:ind w:left="720" w:right="720"/>
        <w:rPr>
          <w:rFonts w:ascii="Times New Roman" w:hAnsi="Times New Roman" w:cs="Times New Roman"/>
          <w:b/>
          <w:bCs/>
          <w:sz w:val="24"/>
          <w:szCs w:val="24"/>
        </w:rPr>
      </w:pPr>
    </w:p>
    <w:p>
      <w:pPr>
        <w:pStyle w:val="42"/>
        <w:spacing w:line="480" w:lineRule="auto"/>
        <w:ind w:left="720" w:right="720"/>
        <w:rPr>
          <w:rFonts w:ascii="Times New Roman" w:hAnsi="Times New Roman" w:cs="Times New Roman"/>
          <w:b/>
          <w:bCs/>
          <w:sz w:val="24"/>
          <w:szCs w:val="24"/>
        </w:rPr>
      </w:pPr>
    </w:p>
    <w:p>
      <w:pPr>
        <w:pStyle w:val="42"/>
        <w:spacing w:line="480" w:lineRule="auto"/>
        <w:ind w:left="720" w:right="720"/>
        <w:rPr>
          <w:rFonts w:ascii="Times New Roman" w:hAnsi="Times New Roman" w:cs="Times New Roman"/>
          <w:b/>
          <w:bCs/>
          <w:sz w:val="24"/>
          <w:szCs w:val="24"/>
        </w:rPr>
      </w:pPr>
    </w:p>
    <w:p>
      <w:pPr>
        <w:pStyle w:val="42"/>
        <w:spacing w:line="480" w:lineRule="auto"/>
        <w:ind w:left="720" w:right="720"/>
        <w:rPr>
          <w:rFonts w:ascii="Times New Roman" w:hAnsi="Times New Roman" w:cs="Times New Roman"/>
          <w:b/>
          <w:bCs/>
          <w:sz w:val="24"/>
          <w:szCs w:val="24"/>
        </w:rPr>
      </w:pPr>
    </w:p>
    <w:p>
      <w:pPr>
        <w:pStyle w:val="42"/>
        <w:spacing w:line="480" w:lineRule="auto"/>
        <w:ind w:left="720" w:right="720"/>
        <w:rPr>
          <w:rFonts w:ascii="Times New Roman" w:hAnsi="Times New Roman" w:cs="Times New Roman"/>
          <w:b/>
          <w:bCs/>
          <w:sz w:val="24"/>
          <w:szCs w:val="24"/>
        </w:rPr>
      </w:pPr>
    </w:p>
    <w:p>
      <w:pPr>
        <w:pStyle w:val="42"/>
        <w:spacing w:line="480" w:lineRule="auto"/>
        <w:ind w:left="720" w:right="720"/>
        <w:rPr>
          <w:rFonts w:ascii="Times New Roman" w:hAnsi="Times New Roman" w:cs="Times New Roman"/>
          <w:b/>
          <w:bCs/>
          <w:sz w:val="24"/>
          <w:szCs w:val="24"/>
        </w:rPr>
      </w:pPr>
    </w:p>
    <w:p>
      <w:pPr>
        <w:pStyle w:val="42"/>
        <w:spacing w:line="480" w:lineRule="auto"/>
        <w:ind w:right="720"/>
        <w:rPr>
          <w:rFonts w:ascii="Times New Roman" w:hAnsi="Times New Roman" w:cs="Times New Roman"/>
          <w:b/>
          <w:bCs/>
          <w:sz w:val="24"/>
          <w:szCs w:val="24"/>
        </w:rPr>
      </w:pPr>
    </w:p>
    <w:p>
      <w:pPr>
        <w:pStyle w:val="42"/>
        <w:spacing w:line="480" w:lineRule="auto"/>
        <w:ind w:right="720"/>
        <w:rPr>
          <w:rFonts w:ascii="Times New Roman" w:hAnsi="Times New Roman" w:cs="Times New Roman"/>
          <w:b/>
          <w:bCs/>
          <w:sz w:val="24"/>
          <w:szCs w:val="24"/>
        </w:rPr>
      </w:pPr>
    </w:p>
    <w:p>
      <w:pPr>
        <w:pStyle w:val="42"/>
        <w:spacing w:line="480" w:lineRule="auto"/>
        <w:ind w:right="720"/>
        <w:rPr>
          <w:rFonts w:ascii="Times New Roman" w:hAnsi="Times New Roman" w:cs="Times New Roman"/>
          <w:b/>
          <w:bCs/>
          <w:sz w:val="24"/>
          <w:szCs w:val="24"/>
        </w:rPr>
      </w:pPr>
    </w:p>
    <w:p>
      <w:pPr>
        <w:pStyle w:val="42"/>
        <w:spacing w:line="480" w:lineRule="auto"/>
        <w:ind w:left="720" w:right="720"/>
        <w:rPr>
          <w:rFonts w:ascii="Times New Roman" w:hAnsi="Times New Roman" w:cs="Times New Roman"/>
          <w:b/>
          <w:bCs/>
          <w:sz w:val="24"/>
          <w:szCs w:val="24"/>
        </w:rPr>
      </w:pPr>
    </w:p>
    <w:p>
      <w:pPr>
        <w:pStyle w:val="42"/>
        <w:spacing w:line="480" w:lineRule="auto"/>
        <w:ind w:left="720" w:right="720"/>
        <w:rPr>
          <w:rFonts w:ascii="Times New Roman" w:hAnsi="Times New Roman" w:cs="Times New Roman"/>
          <w:b/>
          <w:bCs/>
          <w:sz w:val="24"/>
          <w:szCs w:val="24"/>
        </w:rPr>
      </w:pPr>
    </w:p>
    <w:sdt>
      <w:sdtPr>
        <w:rPr>
          <w:rFonts w:ascii="Times New Roman" w:hAnsi="Times New Roman" w:cs="Times New Roman" w:eastAsiaTheme="minorHAnsi"/>
          <w:color w:val="auto"/>
          <w:sz w:val="24"/>
          <w:szCs w:val="24"/>
        </w:rPr>
        <w:id w:val="-997572825"/>
        <w:docPartObj>
          <w:docPartGallery w:val="Table of Contents"/>
          <w:docPartUnique/>
        </w:docPartObj>
      </w:sdtPr>
      <w:sdtEndPr>
        <w:rPr>
          <w:rFonts w:ascii="Times New Roman" w:hAnsi="Times New Roman" w:cs="Times New Roman" w:eastAsiaTheme="minorHAnsi"/>
          <w:b/>
          <w:bCs/>
          <w:color w:val="auto"/>
          <w:sz w:val="24"/>
          <w:szCs w:val="24"/>
        </w:rPr>
      </w:sdtEndPr>
      <w:sdtContent>
        <w:p>
          <w:pPr>
            <w:pStyle w:val="51"/>
            <w:jc w:val="center"/>
            <w:rPr>
              <w:rFonts w:ascii="Times New Roman" w:hAnsi="Times New Roman" w:cs="Times New Roman"/>
              <w:b/>
              <w:sz w:val="24"/>
              <w:szCs w:val="24"/>
            </w:rPr>
          </w:pPr>
          <w:r>
            <w:rPr>
              <w:rFonts w:ascii="Times New Roman" w:hAnsi="Times New Roman" w:cs="Times New Roman"/>
              <w:b/>
              <w:sz w:val="24"/>
              <w:szCs w:val="24"/>
            </w:rPr>
            <w:t>Table of Contents</w:t>
          </w:r>
        </w:p>
        <w:p>
          <w:pPr>
            <w:pStyle w:val="22"/>
            <w:tabs>
              <w:tab w:val="right" w:leader="dot" w:pos="9350"/>
            </w:tabs>
            <w:rPr>
              <w:rFonts w:ascii="Times New Roman" w:hAnsi="Times New Roman" w:cs="Times New Roman" w:eastAsiaTheme="minorEastAsia"/>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r>
            <w:fldChar w:fldCharType="begin"/>
          </w:r>
          <w:r>
            <w:instrText xml:space="preserve"> HYPERLINK \l "_Toc142753367" </w:instrText>
          </w:r>
          <w:r>
            <w:fldChar w:fldCharType="separate"/>
          </w:r>
          <w:r>
            <w:rPr>
              <w:rStyle w:val="16"/>
              <w:rFonts w:ascii="Times New Roman" w:hAnsi="Times New Roman" w:cs="Times New Roman"/>
              <w:bCs/>
              <w:sz w:val="24"/>
              <w:szCs w:val="24"/>
            </w:rPr>
            <w:t>Approval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_Toc142753367 \h </w:instrText>
          </w:r>
          <w:r>
            <w:rPr>
              <w:rFonts w:ascii="Times New Roman" w:hAnsi="Times New Roman" w:cs="Times New Roman"/>
              <w:sz w:val="24"/>
              <w:szCs w:val="24"/>
            </w:rPr>
            <w:fldChar w:fldCharType="separate"/>
          </w:r>
          <w:r>
            <w:rPr>
              <w:rFonts w:ascii="Times New Roman" w:hAnsi="Times New Roman" w:cs="Times New Roman"/>
              <w:sz w:val="24"/>
              <w:szCs w:val="24"/>
            </w:rPr>
            <w:t>iii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"_Toc142753368" </w:instrText>
          </w:r>
          <w:r>
            <w:fldChar w:fldCharType="separate"/>
          </w:r>
          <w:r>
            <w:rPr>
              <w:rStyle w:val="16"/>
              <w:rFonts w:ascii="Times New Roman" w:hAnsi="Times New Roman" w:cs="Times New Roman"/>
              <w:sz w:val="24"/>
              <w:szCs w:val="24"/>
            </w:rPr>
            <w:t>Acknowledgement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_Toc142753368 \h </w:instrText>
          </w:r>
          <w:r>
            <w:rPr>
              <w:rFonts w:ascii="Times New Roman" w:hAnsi="Times New Roman" w:cs="Times New Roman"/>
              <w:sz w:val="24"/>
              <w:szCs w:val="24"/>
            </w:rPr>
            <w:fldChar w:fldCharType="separate"/>
          </w:r>
          <w:r>
            <w:rPr>
              <w:rFonts w:ascii="Times New Roman" w:hAnsi="Times New Roman" w:cs="Times New Roman"/>
              <w:sz w:val="24"/>
              <w:szCs w:val="24"/>
            </w:rPr>
            <w:t>iv</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"_Toc142753369" </w:instrText>
          </w:r>
          <w:r>
            <w:fldChar w:fldCharType="separate"/>
          </w:r>
          <w:r>
            <w:rPr>
              <w:rStyle w:val="16"/>
              <w:rFonts w:ascii="Times New Roman" w:hAnsi="Times New Roman" w:cs="Times New Roman"/>
              <w:bCs/>
              <w:sz w:val="24"/>
              <w:szCs w:val="24"/>
            </w:rPr>
            <w:t>Dedication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_Toc142753369 \h </w:instrText>
          </w:r>
          <w:r>
            <w:rPr>
              <w:rFonts w:ascii="Times New Roman" w:hAnsi="Times New Roman" w:cs="Times New Roman"/>
              <w:sz w:val="24"/>
              <w:szCs w:val="24"/>
            </w:rPr>
            <w:fldChar w:fldCharType="separate"/>
          </w:r>
          <w:r>
            <w:rPr>
              <w:rFonts w:ascii="Times New Roman" w:hAnsi="Times New Roman" w:cs="Times New Roman"/>
              <w:sz w:val="24"/>
              <w:szCs w:val="24"/>
            </w:rPr>
            <w:t>v</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"_Toc142753370" </w:instrText>
          </w:r>
          <w:r>
            <w:fldChar w:fldCharType="separate"/>
          </w:r>
          <w:r>
            <w:rPr>
              <w:rStyle w:val="16"/>
              <w:rFonts w:ascii="Times New Roman" w:hAnsi="Times New Roman" w:cs="Times New Roman"/>
              <w:sz w:val="24"/>
              <w:szCs w:val="24"/>
            </w:rPr>
            <w:t>List of Tables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_Toc142753370 \h </w:instrText>
          </w:r>
          <w:r>
            <w:rPr>
              <w:rFonts w:ascii="Times New Roman" w:hAnsi="Times New Roman" w:cs="Times New Roman"/>
              <w:sz w:val="24"/>
              <w:szCs w:val="24"/>
            </w:rPr>
            <w:fldChar w:fldCharType="separate"/>
          </w:r>
          <w:r>
            <w:rPr>
              <w:rFonts w:ascii="Times New Roman" w:hAnsi="Times New Roman" w:cs="Times New Roman"/>
              <w:sz w:val="24"/>
              <w:szCs w:val="24"/>
            </w:rPr>
            <w:t>viii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"_Toc142753371" </w:instrText>
          </w:r>
          <w:r>
            <w:fldChar w:fldCharType="separate"/>
          </w:r>
          <w:r>
            <w:rPr>
              <w:rStyle w:val="16"/>
              <w:rFonts w:ascii="Times New Roman" w:hAnsi="Times New Roman" w:cs="Times New Roman"/>
              <w:sz w:val="24"/>
              <w:szCs w:val="24"/>
            </w:rPr>
            <w:t>List of Figures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_Toc142753371 \h </w:instrText>
          </w:r>
          <w:r>
            <w:rPr>
              <w:rFonts w:ascii="Times New Roman" w:hAnsi="Times New Roman" w:cs="Times New Roman"/>
              <w:sz w:val="24"/>
              <w:szCs w:val="24"/>
            </w:rPr>
            <w:fldChar w:fldCharType="separate"/>
          </w:r>
          <w:r>
            <w:rPr>
              <w:rFonts w:ascii="Times New Roman" w:hAnsi="Times New Roman" w:cs="Times New Roman"/>
              <w:sz w:val="24"/>
              <w:szCs w:val="24"/>
            </w:rPr>
            <w:t>ix</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"_Toc142753372" </w:instrText>
          </w:r>
          <w:r>
            <w:fldChar w:fldCharType="separate"/>
          </w:r>
          <w:r>
            <w:rPr>
              <w:rStyle w:val="16"/>
              <w:rFonts w:ascii="Times New Roman" w:hAnsi="Times New Roman" w:cs="Times New Roman"/>
              <w:sz w:val="24"/>
              <w:szCs w:val="24"/>
            </w:rPr>
            <w:t>List of Appendices</w:t>
          </w:r>
          <w:r>
            <w:rPr>
              <w:rFonts w:ascii="Times New Roman" w:hAnsi="Times New Roman" w:cs="Times New Roman"/>
              <w:sz w:val="24"/>
              <w:szCs w:val="24"/>
            </w:rPr>
            <w:tab/>
          </w:r>
          <w:r>
            <w:rPr>
              <w:rFonts w:ascii="Times New Roman" w:hAnsi="Times New Roman" w:cs="Times New Roman"/>
              <w:sz w:val="24"/>
              <w:szCs w:val="24"/>
            </w:rPr>
            <w:t>x</w:t>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"_Toc142753373" </w:instrText>
          </w:r>
          <w:r>
            <w:fldChar w:fldCharType="separate"/>
          </w:r>
          <w:r>
            <w:rPr>
              <w:rStyle w:val="16"/>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_Toc142753373 \h </w:instrText>
          </w:r>
          <w:r>
            <w:rPr>
              <w:rFonts w:ascii="Times New Roman" w:hAnsi="Times New Roman" w:cs="Times New Roman"/>
              <w:sz w:val="24"/>
              <w:szCs w:val="24"/>
            </w:rPr>
            <w:fldChar w:fldCharType="separate"/>
          </w:r>
          <w:r>
            <w:rPr>
              <w:rFonts w:ascii="Times New Roman" w:hAnsi="Times New Roman" w:cs="Times New Roman"/>
              <w:sz w:val="24"/>
              <w:szCs w:val="24"/>
            </w:rPr>
            <w:t>xi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"_Toc142753374" </w:instrText>
          </w:r>
          <w:r>
            <w:fldChar w:fldCharType="separate"/>
          </w:r>
          <w:r>
            <w:rPr>
              <w:rStyle w:val="16"/>
              <w:rFonts w:ascii="Times New Roman" w:hAnsi="Times New Roman" w:cs="Times New Roman"/>
              <w:b/>
              <w:sz w:val="24"/>
              <w:szCs w:val="24"/>
            </w:rPr>
            <w:t>Chapter One: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_Toc142753374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"_Toc142753375" </w:instrText>
          </w:r>
          <w:r>
            <w:fldChar w:fldCharType="separate"/>
          </w:r>
          <w:r>
            <w:rPr>
              <w:rStyle w:val="16"/>
              <w:rFonts w:ascii="Times New Roman" w:hAnsi="Times New Roman" w:cs="Times New Roman"/>
              <w:sz w:val="24"/>
              <w:szCs w:val="24"/>
            </w:rPr>
            <w:t>Introduction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_Toc142753375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"_Toc142753376" </w:instrText>
          </w:r>
          <w:r>
            <w:fldChar w:fldCharType="separate"/>
          </w:r>
          <w:r>
            <w:rPr>
              <w:rStyle w:val="16"/>
              <w:rFonts w:ascii="Times New Roman" w:hAnsi="Times New Roman" w:cs="Times New Roman"/>
              <w:sz w:val="24"/>
              <w:szCs w:val="24"/>
            </w:rPr>
            <w:t>Background</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_Toc142753376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"_Toc142753377" </w:instrText>
          </w:r>
          <w:r>
            <w:fldChar w:fldCharType="separate"/>
          </w:r>
          <w:r>
            <w:rPr>
              <w:rStyle w:val="16"/>
              <w:rFonts w:ascii="Times New Roman" w:hAnsi="Times New Roman" w:cs="Times New Roman"/>
              <w:bCs/>
              <w:sz w:val="24"/>
              <w:szCs w:val="24"/>
            </w:rPr>
            <w:t>Statement of the Problem</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_Toc142753377 \h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"_Toc142753378" </w:instrText>
          </w:r>
          <w:r>
            <w:fldChar w:fldCharType="separate"/>
          </w:r>
          <w:r>
            <w:rPr>
              <w:rStyle w:val="16"/>
              <w:rFonts w:ascii="Times New Roman" w:hAnsi="Times New Roman" w:cs="Times New Roman"/>
              <w:sz w:val="24"/>
              <w:szCs w:val="24"/>
            </w:rPr>
            <w:t>Purpose of the Study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_Toc142753378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"_Toc142753379" </w:instrText>
          </w:r>
          <w:r>
            <w:fldChar w:fldCharType="separate"/>
          </w:r>
          <w:r>
            <w:rPr>
              <w:rStyle w:val="16"/>
              <w:rFonts w:ascii="Times New Roman" w:hAnsi="Times New Roman" w:cs="Times New Roman"/>
              <w:sz w:val="24"/>
              <w:szCs w:val="24"/>
            </w:rPr>
            <w:t>Research Objectives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_Toc142753379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"_Toc142753380" </w:instrText>
          </w:r>
          <w:r>
            <w:fldChar w:fldCharType="separate"/>
          </w:r>
          <w:r>
            <w:rPr>
              <w:rStyle w:val="16"/>
              <w:rFonts w:ascii="Times New Roman" w:hAnsi="Times New Roman" w:cs="Times New Roman"/>
              <w:sz w:val="24"/>
              <w:szCs w:val="24"/>
            </w:rPr>
            <w:t>Research Question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_Toc142753380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"_Toc142753381" </w:instrText>
          </w:r>
          <w:r>
            <w:fldChar w:fldCharType="separate"/>
          </w:r>
          <w:r>
            <w:rPr>
              <w:rStyle w:val="16"/>
              <w:rFonts w:ascii="Times New Roman" w:hAnsi="Times New Roman" w:cs="Times New Roman"/>
              <w:sz w:val="24"/>
              <w:szCs w:val="24"/>
            </w:rPr>
            <w:t>Scope of study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_Toc142753381 \h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"_Toc142753382" </w:instrText>
          </w:r>
          <w:r>
            <w:fldChar w:fldCharType="separate"/>
          </w:r>
          <w:r>
            <w:rPr>
              <w:rStyle w:val="16"/>
              <w:rFonts w:ascii="Times New Roman" w:hAnsi="Times New Roman" w:cs="Times New Roman"/>
              <w:sz w:val="24"/>
              <w:szCs w:val="24"/>
            </w:rPr>
            <w:t>Justification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_Toc142753382 \h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"_Toc142753383" </w:instrText>
          </w:r>
          <w:r>
            <w:fldChar w:fldCharType="separate"/>
          </w:r>
          <w:r>
            <w:rPr>
              <w:rStyle w:val="16"/>
              <w:rFonts w:ascii="Times New Roman" w:hAnsi="Times New Roman" w:cs="Times New Roman"/>
              <w:sz w:val="24"/>
              <w:szCs w:val="24"/>
            </w:rPr>
            <w:t>Significance of the Study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_Toc142753383 \h </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"_Toc142753387" </w:instrText>
          </w:r>
          <w:r>
            <w:fldChar w:fldCharType="separate"/>
          </w:r>
          <w:r>
            <w:rPr>
              <w:rStyle w:val="16"/>
              <w:rFonts w:ascii="Times New Roman" w:hAnsi="Times New Roman" w:cs="Times New Roman"/>
              <w:sz w:val="24"/>
              <w:szCs w:val="24"/>
            </w:rPr>
            <w:t>Study Variables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_Toc142753387 \h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"_Toc142753388" </w:instrText>
          </w:r>
          <w:r>
            <w:fldChar w:fldCharType="separate"/>
          </w:r>
          <w:r>
            <w:rPr>
              <w:rStyle w:val="16"/>
              <w:rFonts w:ascii="Times New Roman" w:hAnsi="Times New Roman" w:cs="Times New Roman"/>
              <w:sz w:val="24"/>
              <w:szCs w:val="24"/>
            </w:rPr>
            <w:t>Conceptual Framework</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_Toc142753388 \h </w:instrText>
          </w:r>
          <w:r>
            <w:rPr>
              <w:rFonts w:ascii="Times New Roman" w:hAnsi="Times New Roman" w:cs="Times New Roman"/>
              <w:sz w:val="24"/>
              <w:szCs w:val="24"/>
            </w:rPr>
            <w:fldChar w:fldCharType="separate"/>
          </w:r>
          <w:r>
            <w:rPr>
              <w:rFonts w:ascii="Times New Roman" w:hAnsi="Times New Roman" w:cs="Times New Roman"/>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"_Toc142753390" </w:instrText>
          </w:r>
          <w:r>
            <w:fldChar w:fldCharType="separate"/>
          </w:r>
          <w:r>
            <w:rPr>
              <w:rStyle w:val="16"/>
              <w:rFonts w:ascii="Times New Roman" w:hAnsi="Times New Roman" w:cs="Times New Roman"/>
              <w:sz w:val="24"/>
              <w:szCs w:val="24"/>
            </w:rPr>
            <w:t>Theoretical Framework</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_Toc142753390 \h </w:instrText>
          </w:r>
          <w:r>
            <w:rPr>
              <w:rFonts w:ascii="Times New Roman" w:hAnsi="Times New Roman" w:cs="Times New Roman"/>
              <w:sz w:val="24"/>
              <w:szCs w:val="24"/>
            </w:rP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"_Toc142753391" </w:instrText>
          </w:r>
          <w:r>
            <w:fldChar w:fldCharType="separate"/>
          </w:r>
          <w:r>
            <w:rPr>
              <w:rStyle w:val="16"/>
              <w:rFonts w:ascii="Times New Roman" w:hAnsi="Times New Roman" w:cs="Times New Roman"/>
              <w:b/>
              <w:sz w:val="24"/>
              <w:szCs w:val="24"/>
            </w:rPr>
            <w:t>Chapter Two: Literature Review</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_Toc142753391 \h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"_Toc142753392" </w:instrText>
          </w:r>
          <w:r>
            <w:fldChar w:fldCharType="separate"/>
          </w:r>
          <w:r>
            <w:rPr>
              <w:rStyle w:val="16"/>
              <w:rFonts w:ascii="Times New Roman" w:hAnsi="Times New Roman" w:cs="Times New Roman"/>
              <w:sz w:val="24"/>
              <w:szCs w:val="24"/>
            </w:rPr>
            <w:t>Nurse’s knowledge towards postoperative pain assessment.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_Toc142753392 \h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"_Toc142753394" </w:instrText>
          </w:r>
          <w:r>
            <w:fldChar w:fldCharType="separate"/>
          </w:r>
          <w:r>
            <w:rPr>
              <w:rStyle w:val="16"/>
              <w:rFonts w:ascii="Times New Roman" w:hAnsi="Times New Roman" w:cs="Times New Roman"/>
              <w:sz w:val="24"/>
              <w:szCs w:val="24"/>
            </w:rPr>
            <w:t>Nurses’ attitude towards post-operative pain management.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_Toc142753394 \h </w:instrText>
          </w:r>
          <w:r>
            <w:rPr>
              <w:rFonts w:ascii="Times New Roman" w:hAnsi="Times New Roman" w:cs="Times New Roman"/>
              <w:sz w:val="24"/>
              <w:szCs w:val="24"/>
            </w:rPr>
            <w:fldChar w:fldCharType="separate"/>
          </w:r>
          <w:r>
            <w:rPr>
              <w:rFonts w:ascii="Times New Roman" w:hAnsi="Times New Roman" w:cs="Times New Roman"/>
              <w:sz w:val="24"/>
              <w:szCs w:val="24"/>
            </w:rPr>
            <w:t>21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"_Toc142753396" </w:instrText>
          </w:r>
          <w:r>
            <w:fldChar w:fldCharType="separate"/>
          </w:r>
          <w:r>
            <w:rPr>
              <w:rStyle w:val="16"/>
              <w:rFonts w:ascii="Times New Roman" w:hAnsi="Times New Roman" w:cs="Times New Roman"/>
              <w:sz w:val="24"/>
              <w:szCs w:val="24"/>
            </w:rPr>
            <w:t>Nurses’ practice towards post-operative pain assessment.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_Toc142753396 \h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"_Toc142753397" </w:instrText>
          </w:r>
          <w:r>
            <w:fldChar w:fldCharType="separate"/>
          </w:r>
          <w:r>
            <w:rPr>
              <w:rStyle w:val="16"/>
              <w:rFonts w:ascii="Times New Roman" w:hAnsi="Times New Roman" w:cs="Times New Roman"/>
              <w:b/>
              <w:sz w:val="24"/>
              <w:szCs w:val="24"/>
            </w:rPr>
            <w:t>Chapter Three: Methodology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_Toc142753397 \h </w:instrText>
          </w:r>
          <w:r>
            <w:rPr>
              <w:rFonts w:ascii="Times New Roman" w:hAnsi="Times New Roman" w:cs="Times New Roman"/>
              <w:sz w:val="24"/>
              <w:szCs w:val="24"/>
            </w:rPr>
            <w:fldChar w:fldCharType="separate"/>
          </w:r>
          <w:r>
            <w:rPr>
              <w:rFonts w:ascii="Times New Roman" w:hAnsi="Times New Roman" w:cs="Times New Roman"/>
              <w:sz w:val="24"/>
              <w:szCs w:val="24"/>
            </w:rPr>
            <w:t>33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"_Toc142753398" </w:instrText>
          </w:r>
          <w:r>
            <w:fldChar w:fldCharType="separate"/>
          </w:r>
          <w:r>
            <w:rPr>
              <w:rStyle w:val="16"/>
              <w:rFonts w:ascii="Times New Roman" w:hAnsi="Times New Roman" w:cs="Times New Roman"/>
              <w:sz w:val="24"/>
              <w:szCs w:val="24"/>
              <w:lang w:eastAsia="ja-JP"/>
            </w:rPr>
            <w:t>Study design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_Toc142753398 \h </w:instrText>
          </w:r>
          <w:r>
            <w:rPr>
              <w:rFonts w:ascii="Times New Roman" w:hAnsi="Times New Roman" w:cs="Times New Roman"/>
              <w:sz w:val="24"/>
              <w:szCs w:val="24"/>
            </w:rPr>
            <w:fldChar w:fldCharType="separate"/>
          </w:r>
          <w:r>
            <w:rPr>
              <w:rFonts w:ascii="Times New Roman" w:hAnsi="Times New Roman" w:cs="Times New Roman"/>
              <w:sz w:val="24"/>
              <w:szCs w:val="24"/>
            </w:rPr>
            <w:t>33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"_Toc142753400" </w:instrText>
          </w:r>
          <w:r>
            <w:fldChar w:fldCharType="separate"/>
          </w:r>
          <w:r>
            <w:rPr>
              <w:rStyle w:val="16"/>
              <w:rFonts w:ascii="Times New Roman" w:hAnsi="Times New Roman" w:cs="Times New Roman"/>
              <w:sz w:val="24"/>
              <w:szCs w:val="24"/>
            </w:rPr>
            <w:t>Study area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_Toc142753400 \h </w:instrText>
          </w:r>
          <w:r>
            <w:rPr>
              <w:rFonts w:ascii="Times New Roman" w:hAnsi="Times New Roman" w:cs="Times New Roman"/>
              <w:sz w:val="24"/>
              <w:szCs w:val="24"/>
            </w:rPr>
            <w:fldChar w:fldCharType="separate"/>
          </w:r>
          <w:r>
            <w:rPr>
              <w:rFonts w:ascii="Times New Roman" w:hAnsi="Times New Roman" w:cs="Times New Roman"/>
              <w:sz w:val="24"/>
              <w:szCs w:val="24"/>
            </w:rPr>
            <w:t>33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"_Toc142753401" </w:instrText>
          </w:r>
          <w:r>
            <w:fldChar w:fldCharType="separate"/>
          </w:r>
          <w:r>
            <w:rPr>
              <w:rStyle w:val="16"/>
              <w:rFonts w:ascii="Times New Roman" w:hAnsi="Times New Roman" w:cs="Times New Roman"/>
              <w:sz w:val="24"/>
              <w:szCs w:val="24"/>
            </w:rPr>
            <w:t>Study population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_Toc142753401 \h </w:instrText>
          </w:r>
          <w:r>
            <w:rPr>
              <w:rFonts w:ascii="Times New Roman" w:hAnsi="Times New Roman" w:cs="Times New Roman"/>
              <w:sz w:val="24"/>
              <w:szCs w:val="24"/>
            </w:rPr>
            <w:fldChar w:fldCharType="separate"/>
          </w:r>
          <w:r>
            <w:rPr>
              <w:rFonts w:ascii="Times New Roman" w:hAnsi="Times New Roman" w:cs="Times New Roman"/>
              <w:sz w:val="24"/>
              <w:szCs w:val="24"/>
            </w:rPr>
            <w:t>34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"_Toc142753402" </w:instrText>
          </w:r>
          <w:r>
            <w:fldChar w:fldCharType="separate"/>
          </w:r>
          <w:r>
            <w:rPr>
              <w:rStyle w:val="16"/>
              <w:rFonts w:ascii="Times New Roman" w:hAnsi="Times New Roman" w:cs="Times New Roman"/>
              <w:sz w:val="24"/>
              <w:szCs w:val="24"/>
            </w:rPr>
            <w:t>Sample size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_Toc142753402 \h </w:instrText>
          </w:r>
          <w:r>
            <w:rPr>
              <w:rFonts w:ascii="Times New Roman" w:hAnsi="Times New Roman" w:cs="Times New Roman"/>
              <w:sz w:val="24"/>
              <w:szCs w:val="24"/>
            </w:rPr>
            <w:fldChar w:fldCharType="separate"/>
          </w:r>
          <w:r>
            <w:rPr>
              <w:rFonts w:ascii="Times New Roman" w:hAnsi="Times New Roman" w:cs="Times New Roman"/>
              <w:sz w:val="24"/>
              <w:szCs w:val="24"/>
            </w:rPr>
            <w:t>34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"_Toc142753403" </w:instrText>
          </w:r>
          <w:r>
            <w:fldChar w:fldCharType="separate"/>
          </w:r>
          <w:r>
            <w:rPr>
              <w:rStyle w:val="16"/>
              <w:rFonts w:ascii="Times New Roman" w:hAnsi="Times New Roman" w:cs="Times New Roman"/>
              <w:sz w:val="24"/>
              <w:szCs w:val="24"/>
              <w:lang w:eastAsia="ja-JP"/>
            </w:rPr>
            <w:t>Inclusion criteria.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_Toc142753403 \h </w:instrText>
          </w:r>
          <w:r>
            <w:rPr>
              <w:rFonts w:ascii="Times New Roman" w:hAnsi="Times New Roman" w:cs="Times New Roman"/>
              <w:sz w:val="24"/>
              <w:szCs w:val="24"/>
            </w:rPr>
            <w:fldChar w:fldCharType="separate"/>
          </w:r>
          <w:r>
            <w:rPr>
              <w:rFonts w:ascii="Times New Roman" w:hAnsi="Times New Roman" w:cs="Times New Roman"/>
              <w:sz w:val="24"/>
              <w:szCs w:val="24"/>
            </w:rPr>
            <w:t>35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9350"/>
            </w:tabs>
            <w:ind w:left="0"/>
            <w:rPr>
              <w:rFonts w:ascii="Times New Roman" w:hAnsi="Times New Roman" w:cs="Times New Roman" w:eastAsiaTheme="minorEastAsia"/>
              <w:sz w:val="24"/>
              <w:szCs w:val="24"/>
            </w:rPr>
          </w:pPr>
          <w:r>
            <w:rPr>
              <w:rStyle w:val="16"/>
              <w:rFonts w:ascii="Times New Roman" w:hAnsi="Times New Roman" w:cs="Times New Roman"/>
              <w:sz w:val="24"/>
              <w:szCs w:val="24"/>
              <w:u w:val="none"/>
            </w:rPr>
            <w:t xml:space="preserve">   </w:t>
          </w:r>
          <w:r>
            <w:fldChar w:fldCharType="begin"/>
          </w:r>
          <w:r>
            <w:instrText xml:space="preserve"> HYPERLINK \l "_Toc142753404" </w:instrText>
          </w:r>
          <w:r>
            <w:fldChar w:fldCharType="separate"/>
          </w:r>
          <w:r>
            <w:rPr>
              <w:rStyle w:val="16"/>
              <w:rFonts w:ascii="Times New Roman" w:hAnsi="Times New Roman" w:eastAsia="MS Mincho" w:cs="Times New Roman"/>
              <w:bCs/>
              <w:sz w:val="24"/>
              <w:szCs w:val="24"/>
              <w:lang w:eastAsia="ja-JP"/>
            </w:rPr>
            <w:t>Exclusion criteria.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_Toc142753404 \h </w:instrText>
          </w:r>
          <w:r>
            <w:rPr>
              <w:rFonts w:ascii="Times New Roman" w:hAnsi="Times New Roman" w:cs="Times New Roman"/>
              <w:sz w:val="24"/>
              <w:szCs w:val="24"/>
            </w:rPr>
            <w:fldChar w:fldCharType="separate"/>
          </w:r>
          <w:r>
            <w:rPr>
              <w:rFonts w:ascii="Times New Roman" w:hAnsi="Times New Roman" w:cs="Times New Roman"/>
              <w:sz w:val="24"/>
              <w:szCs w:val="24"/>
            </w:rPr>
            <w:t>35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"_Toc142753405" </w:instrText>
          </w:r>
          <w:r>
            <w:fldChar w:fldCharType="separate"/>
          </w:r>
          <w:r>
            <w:rPr>
              <w:rStyle w:val="16"/>
              <w:rFonts w:ascii="Times New Roman" w:hAnsi="Times New Roman" w:cs="Times New Roman"/>
              <w:sz w:val="24"/>
              <w:szCs w:val="24"/>
              <w:lang w:eastAsia="ja-JP"/>
            </w:rPr>
            <w:t>Sampling method.</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_Toc142753405 \h </w:instrText>
          </w:r>
          <w:r>
            <w:rPr>
              <w:rFonts w:ascii="Times New Roman" w:hAnsi="Times New Roman" w:cs="Times New Roman"/>
              <w:sz w:val="24"/>
              <w:szCs w:val="24"/>
            </w:rPr>
            <w:fldChar w:fldCharType="separate"/>
          </w:r>
          <w:r>
            <w:rPr>
              <w:rFonts w:ascii="Times New Roman" w:hAnsi="Times New Roman" w:cs="Times New Roman"/>
              <w:sz w:val="24"/>
              <w:szCs w:val="24"/>
            </w:rPr>
            <w:t>35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"_Toc142753406" </w:instrText>
          </w:r>
          <w:r>
            <w:fldChar w:fldCharType="separate"/>
          </w:r>
          <w:r>
            <w:rPr>
              <w:rStyle w:val="16"/>
              <w:rFonts w:ascii="Times New Roman" w:hAnsi="Times New Roman" w:cs="Times New Roman"/>
              <w:sz w:val="24"/>
              <w:szCs w:val="24"/>
              <w:lang w:eastAsia="ja-JP"/>
            </w:rPr>
            <w:t>Data collection process and procedure.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_Toc142753406 \h </w:instrText>
          </w:r>
          <w:r>
            <w:rPr>
              <w:rFonts w:ascii="Times New Roman" w:hAnsi="Times New Roman" w:cs="Times New Roman"/>
              <w:sz w:val="24"/>
              <w:szCs w:val="24"/>
            </w:rPr>
            <w:fldChar w:fldCharType="separate"/>
          </w:r>
          <w:r>
            <w:rPr>
              <w:rFonts w:ascii="Times New Roman" w:hAnsi="Times New Roman" w:cs="Times New Roman"/>
              <w:sz w:val="24"/>
              <w:szCs w:val="24"/>
            </w:rPr>
            <w:t>35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"_Toc142753407" </w:instrText>
          </w:r>
          <w:r>
            <w:fldChar w:fldCharType="separate"/>
          </w:r>
          <w:r>
            <w:rPr>
              <w:rStyle w:val="16"/>
              <w:rFonts w:ascii="Times New Roman" w:hAnsi="Times New Roman" w:cs="Times New Roman"/>
              <w:sz w:val="24"/>
              <w:szCs w:val="24"/>
              <w:lang w:eastAsia="ja-JP"/>
            </w:rPr>
            <w:t>Research instruments.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_Toc142753407 \h </w:instrText>
          </w:r>
          <w:r>
            <w:rPr>
              <w:rFonts w:ascii="Times New Roman" w:hAnsi="Times New Roman" w:cs="Times New Roman"/>
              <w:sz w:val="24"/>
              <w:szCs w:val="24"/>
            </w:rPr>
            <w:fldChar w:fldCharType="separate"/>
          </w:r>
          <w:r>
            <w:rPr>
              <w:rFonts w:ascii="Times New Roman" w:hAnsi="Times New Roman" w:cs="Times New Roman"/>
              <w:sz w:val="24"/>
              <w:szCs w:val="24"/>
            </w:rPr>
            <w:t>36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"_Toc142753408" </w:instrText>
          </w:r>
          <w:r>
            <w:fldChar w:fldCharType="separate"/>
          </w:r>
          <w:r>
            <w:rPr>
              <w:rStyle w:val="16"/>
              <w:rFonts w:ascii="Times New Roman" w:hAnsi="Times New Roman" w:cs="Times New Roman"/>
              <w:sz w:val="24"/>
              <w:szCs w:val="24"/>
              <w:lang w:eastAsia="ja-JP"/>
            </w:rPr>
            <w:t>Validity.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_Toc142753408 \h </w:instrText>
          </w:r>
          <w:r>
            <w:rPr>
              <w:rFonts w:ascii="Times New Roman" w:hAnsi="Times New Roman" w:cs="Times New Roman"/>
              <w:sz w:val="24"/>
              <w:szCs w:val="24"/>
            </w:rPr>
            <w:fldChar w:fldCharType="separate"/>
          </w:r>
          <w:r>
            <w:rPr>
              <w:rFonts w:ascii="Times New Roman" w:hAnsi="Times New Roman" w:cs="Times New Roman"/>
              <w:sz w:val="24"/>
              <w:szCs w:val="24"/>
            </w:rPr>
            <w:t>36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"_Toc142753409" </w:instrText>
          </w:r>
          <w:r>
            <w:fldChar w:fldCharType="separate"/>
          </w:r>
          <w:r>
            <w:rPr>
              <w:rStyle w:val="16"/>
              <w:rFonts w:ascii="Times New Roman" w:hAnsi="Times New Roman" w:cs="Times New Roman"/>
              <w:sz w:val="24"/>
              <w:szCs w:val="24"/>
              <w:lang w:eastAsia="ja-JP"/>
            </w:rPr>
            <w:t>Reliability.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_Toc142753409 \h </w:instrText>
          </w:r>
          <w:r>
            <w:rPr>
              <w:rFonts w:ascii="Times New Roman" w:hAnsi="Times New Roman" w:cs="Times New Roman"/>
              <w:sz w:val="24"/>
              <w:szCs w:val="24"/>
            </w:rPr>
            <w:fldChar w:fldCharType="separate"/>
          </w:r>
          <w:r>
            <w:rPr>
              <w:rFonts w:ascii="Times New Roman" w:hAnsi="Times New Roman" w:cs="Times New Roman"/>
              <w:sz w:val="24"/>
              <w:szCs w:val="24"/>
            </w:rPr>
            <w:t>37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"_Toc142753410" </w:instrText>
          </w:r>
          <w:r>
            <w:fldChar w:fldCharType="separate"/>
          </w:r>
          <w:r>
            <w:rPr>
              <w:rStyle w:val="16"/>
              <w:rFonts w:ascii="Times New Roman" w:hAnsi="Times New Roman" w:cs="Times New Roman"/>
              <w:sz w:val="24"/>
              <w:szCs w:val="24"/>
              <w:lang w:eastAsia="ja-JP"/>
            </w:rPr>
            <w:t>Data management plan and analysis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_Toc142753410 \h </w:instrText>
          </w:r>
          <w:r>
            <w:rPr>
              <w:rFonts w:ascii="Times New Roman" w:hAnsi="Times New Roman" w:cs="Times New Roman"/>
              <w:sz w:val="24"/>
              <w:szCs w:val="24"/>
            </w:rPr>
            <w:fldChar w:fldCharType="separate"/>
          </w:r>
          <w:r>
            <w:rPr>
              <w:rFonts w:ascii="Times New Roman" w:hAnsi="Times New Roman" w:cs="Times New Roman"/>
              <w:sz w:val="24"/>
              <w:szCs w:val="24"/>
            </w:rPr>
            <w:t>38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3"/>
            <w:tabs>
              <w:tab w:val="right" w:leader="dot" w:pos="9350"/>
            </w:tabs>
            <w:ind w:hanging="170"/>
            <w:rPr>
              <w:rFonts w:ascii="Times New Roman" w:hAnsi="Times New Roman" w:cs="Times New Roman" w:eastAsiaTheme="minorEastAsia"/>
              <w:sz w:val="24"/>
              <w:szCs w:val="24"/>
            </w:rPr>
          </w:pPr>
          <w:r>
            <w:fldChar w:fldCharType="begin"/>
          </w:r>
          <w:r>
            <w:instrText xml:space="preserve"> HYPERLINK \l "_Toc142753411" </w:instrText>
          </w:r>
          <w:r>
            <w:fldChar w:fldCharType="separate"/>
          </w:r>
          <w:r>
            <w:rPr>
              <w:rStyle w:val="16"/>
              <w:rFonts w:ascii="Times New Roman" w:hAnsi="Times New Roman" w:eastAsia="MS Mincho" w:cs="Times New Roman"/>
              <w:bCs/>
              <w:sz w:val="24"/>
              <w:szCs w:val="24"/>
              <w:lang w:eastAsia="ja-JP"/>
            </w:rPr>
            <w:t>Rights of human subject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_Toc142753411 \h </w:instrText>
          </w:r>
          <w:r>
            <w:rPr>
              <w:rFonts w:ascii="Times New Roman" w:hAnsi="Times New Roman" w:cs="Times New Roman"/>
              <w:sz w:val="24"/>
              <w:szCs w:val="24"/>
            </w:rPr>
            <w:fldChar w:fldCharType="separate"/>
          </w:r>
          <w:r>
            <w:rPr>
              <w:rFonts w:ascii="Times New Roman" w:hAnsi="Times New Roman" w:cs="Times New Roman"/>
              <w:sz w:val="24"/>
              <w:szCs w:val="24"/>
            </w:rPr>
            <w:t>39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"_Toc142753412" </w:instrText>
          </w:r>
          <w:r>
            <w:fldChar w:fldCharType="separate"/>
          </w:r>
          <w:r>
            <w:rPr>
              <w:rStyle w:val="16"/>
              <w:rFonts w:ascii="Times New Roman" w:hAnsi="Times New Roman" w:cs="Times New Roman"/>
              <w:sz w:val="24"/>
              <w:szCs w:val="24"/>
              <w:lang w:eastAsia="ja-JP"/>
            </w:rPr>
            <w:t>Ethical consideration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_Toc142753412 \h </w:instrText>
          </w:r>
          <w:r>
            <w:rPr>
              <w:rFonts w:ascii="Times New Roman" w:hAnsi="Times New Roman" w:cs="Times New Roman"/>
              <w:sz w:val="24"/>
              <w:szCs w:val="24"/>
            </w:rPr>
            <w:fldChar w:fldCharType="separate"/>
          </w:r>
          <w:r>
            <w:rPr>
              <w:rFonts w:ascii="Times New Roman" w:hAnsi="Times New Roman" w:cs="Times New Roman"/>
              <w:sz w:val="24"/>
              <w:szCs w:val="24"/>
            </w:rPr>
            <w:t>39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"_Toc142753418" </w:instrText>
          </w:r>
          <w:r>
            <w:fldChar w:fldCharType="separate"/>
          </w:r>
          <w:r>
            <w:rPr>
              <w:rStyle w:val="16"/>
              <w:rFonts w:ascii="Times New Roman" w:hAnsi="Times New Roman" w:cs="Times New Roman"/>
              <w:sz w:val="24"/>
              <w:szCs w:val="24"/>
              <w:lang w:eastAsia="ja-JP"/>
            </w:rPr>
            <w:t>Limitations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_Toc142753418 \h </w:instrText>
          </w:r>
          <w:r>
            <w:rPr>
              <w:rFonts w:ascii="Times New Roman" w:hAnsi="Times New Roman" w:cs="Times New Roman"/>
              <w:sz w:val="24"/>
              <w:szCs w:val="24"/>
            </w:rPr>
            <w:fldChar w:fldCharType="separate"/>
          </w:r>
          <w:r>
            <w:rPr>
              <w:rFonts w:ascii="Times New Roman" w:hAnsi="Times New Roman" w:cs="Times New Roman"/>
              <w:sz w:val="24"/>
              <w:szCs w:val="24"/>
            </w:rPr>
            <w:t>40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"_Toc142753419" </w:instrText>
          </w:r>
          <w:r>
            <w:fldChar w:fldCharType="separate"/>
          </w:r>
          <w:r>
            <w:rPr>
              <w:rStyle w:val="16"/>
              <w:rFonts w:ascii="Times New Roman" w:hAnsi="Times New Roman" w:cs="Times New Roman"/>
              <w:b/>
              <w:sz w:val="24"/>
              <w:szCs w:val="24"/>
            </w:rPr>
            <w:t>Chapter Four: Data Analysis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_Toc142753419 \h </w:instrText>
          </w:r>
          <w:r>
            <w:rPr>
              <w:rFonts w:ascii="Times New Roman" w:hAnsi="Times New Roman" w:cs="Times New Roman"/>
              <w:sz w:val="24"/>
              <w:szCs w:val="24"/>
            </w:rPr>
            <w:fldChar w:fldCharType="separate"/>
          </w:r>
          <w:r>
            <w:rPr>
              <w:rFonts w:ascii="Times New Roman" w:hAnsi="Times New Roman" w:cs="Times New Roman"/>
              <w:sz w:val="24"/>
              <w:szCs w:val="24"/>
            </w:rPr>
            <w:t>41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"_Toc142753420" </w:instrText>
          </w:r>
          <w:r>
            <w:fldChar w:fldCharType="separate"/>
          </w:r>
          <w:r>
            <w:rPr>
              <w:rStyle w:val="16"/>
              <w:rFonts w:ascii="Times New Roman" w:hAnsi="Times New Roman" w:cs="Times New Roman"/>
              <w:sz w:val="24"/>
              <w:szCs w:val="24"/>
            </w:rPr>
            <w:t>Introduction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_Toc142753420 \h </w:instrText>
          </w:r>
          <w:r>
            <w:rPr>
              <w:rFonts w:ascii="Times New Roman" w:hAnsi="Times New Roman" w:cs="Times New Roman"/>
              <w:sz w:val="24"/>
              <w:szCs w:val="24"/>
            </w:rPr>
            <w:fldChar w:fldCharType="separate"/>
          </w:r>
          <w:r>
            <w:rPr>
              <w:rFonts w:ascii="Times New Roman" w:hAnsi="Times New Roman" w:cs="Times New Roman"/>
              <w:sz w:val="24"/>
              <w:szCs w:val="24"/>
            </w:rPr>
            <w:t>41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"_Toc142753421" </w:instrText>
          </w:r>
          <w:r>
            <w:fldChar w:fldCharType="separate"/>
          </w:r>
          <w:r>
            <w:rPr>
              <w:rStyle w:val="16"/>
              <w:rFonts w:ascii="Times New Roman" w:hAnsi="Times New Roman" w:cs="Times New Roman"/>
              <w:sz w:val="24"/>
              <w:szCs w:val="24"/>
            </w:rPr>
            <w:t>Demographic characteristics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_Toc142753421 \h </w:instrText>
          </w:r>
          <w:r>
            <w:rPr>
              <w:rFonts w:ascii="Times New Roman" w:hAnsi="Times New Roman" w:cs="Times New Roman"/>
              <w:sz w:val="24"/>
              <w:szCs w:val="24"/>
            </w:rPr>
            <w:fldChar w:fldCharType="separate"/>
          </w:r>
          <w:r>
            <w:rPr>
              <w:rFonts w:ascii="Times New Roman" w:hAnsi="Times New Roman" w:cs="Times New Roman"/>
              <w:sz w:val="24"/>
              <w:szCs w:val="24"/>
            </w:rPr>
            <w:t>42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"_Toc142753422" </w:instrText>
          </w:r>
          <w:r>
            <w:fldChar w:fldCharType="separate"/>
          </w:r>
          <w:r>
            <w:rPr>
              <w:rStyle w:val="16"/>
              <w:rFonts w:ascii="Times New Roman" w:hAnsi="Times New Roman" w:cs="Times New Roman"/>
              <w:sz w:val="24"/>
              <w:szCs w:val="24"/>
            </w:rPr>
            <w:t>Pretest Knowledge of Postoperative Pain Management on the Surgical Ward</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_Toc142753422 \h </w:instrText>
          </w:r>
          <w:r>
            <w:rPr>
              <w:rFonts w:ascii="Times New Roman" w:hAnsi="Times New Roman" w:cs="Times New Roman"/>
              <w:sz w:val="24"/>
              <w:szCs w:val="24"/>
            </w:rPr>
            <w:fldChar w:fldCharType="separate"/>
          </w:r>
          <w:r>
            <w:rPr>
              <w:rFonts w:ascii="Times New Roman" w:hAnsi="Times New Roman" w:cs="Times New Roman"/>
              <w:sz w:val="24"/>
              <w:szCs w:val="24"/>
            </w:rPr>
            <w:t>44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"_Toc142753424" </w:instrText>
          </w:r>
          <w:r>
            <w:fldChar w:fldCharType="separate"/>
          </w:r>
          <w:r>
            <w:rPr>
              <w:rStyle w:val="16"/>
              <w:rFonts w:ascii="Times New Roman" w:hAnsi="Times New Roman" w:cs="Times New Roman"/>
              <w:sz w:val="24"/>
              <w:szCs w:val="24"/>
            </w:rPr>
            <w:t>Posttest Knowledge of Postoperative Pain Management on the Surgical Ward</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_Toc142753424 \h </w:instrText>
          </w:r>
          <w:r>
            <w:rPr>
              <w:rFonts w:ascii="Times New Roman" w:hAnsi="Times New Roman" w:cs="Times New Roman"/>
              <w:sz w:val="24"/>
              <w:szCs w:val="24"/>
            </w:rPr>
            <w:fldChar w:fldCharType="separate"/>
          </w:r>
          <w:r>
            <w:rPr>
              <w:rFonts w:ascii="Times New Roman" w:hAnsi="Times New Roman" w:cs="Times New Roman"/>
              <w:sz w:val="24"/>
              <w:szCs w:val="24"/>
            </w:rPr>
            <w:t>49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"_Toc142753426" </w:instrText>
          </w:r>
          <w:r>
            <w:fldChar w:fldCharType="separate"/>
          </w:r>
          <w:r>
            <w:rPr>
              <w:rStyle w:val="16"/>
              <w:rFonts w:ascii="Times New Roman" w:hAnsi="Times New Roman" w:cs="Times New Roman"/>
              <w:sz w:val="24"/>
              <w:szCs w:val="24"/>
            </w:rPr>
            <w:t>Effect of Educational Intervention on Nurse’s Knowledge towards Post-operative Pain Management.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_Toc142753426 \h </w:instrText>
          </w:r>
          <w:r>
            <w:rPr>
              <w:rFonts w:ascii="Times New Roman" w:hAnsi="Times New Roman" w:cs="Times New Roman"/>
              <w:sz w:val="24"/>
              <w:szCs w:val="24"/>
            </w:rPr>
            <w:fldChar w:fldCharType="separate"/>
          </w:r>
          <w:r>
            <w:rPr>
              <w:rFonts w:ascii="Times New Roman" w:hAnsi="Times New Roman" w:cs="Times New Roman"/>
              <w:sz w:val="24"/>
              <w:szCs w:val="24"/>
            </w:rPr>
            <w:t>55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"_Toc142753427" </w:instrText>
          </w:r>
          <w:r>
            <w:fldChar w:fldCharType="separate"/>
          </w:r>
          <w:r>
            <w:rPr>
              <w:rStyle w:val="16"/>
              <w:rFonts w:ascii="Times New Roman" w:hAnsi="Times New Roman" w:cs="Times New Roman"/>
              <w:sz w:val="24"/>
              <w:szCs w:val="24"/>
            </w:rPr>
            <w:t>Attitude Pretest toward Postoperative Pain Management on the Surgical Ward</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_Toc142753427 \h </w:instrText>
          </w:r>
          <w:r>
            <w:rPr>
              <w:rFonts w:ascii="Times New Roman" w:hAnsi="Times New Roman" w:cs="Times New Roman"/>
              <w:sz w:val="24"/>
              <w:szCs w:val="24"/>
            </w:rPr>
            <w:fldChar w:fldCharType="separate"/>
          </w:r>
          <w:r>
            <w:rPr>
              <w:rFonts w:ascii="Times New Roman" w:hAnsi="Times New Roman" w:cs="Times New Roman"/>
              <w:sz w:val="24"/>
              <w:szCs w:val="24"/>
            </w:rPr>
            <w:t>56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"_Toc142753428" </w:instrText>
          </w:r>
          <w:r>
            <w:fldChar w:fldCharType="separate"/>
          </w:r>
          <w:r>
            <w:rPr>
              <w:rStyle w:val="16"/>
              <w:rFonts w:ascii="Times New Roman" w:hAnsi="Times New Roman" w:cs="Times New Roman"/>
              <w:sz w:val="24"/>
              <w:szCs w:val="24"/>
            </w:rPr>
            <w:t>The Effect of Integrating the Pain Assessment Scale on the Nurse’s Attitude towards Post Operative Pain Management.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_Toc142753428 \h </w:instrText>
          </w:r>
          <w:r>
            <w:rPr>
              <w:rFonts w:ascii="Times New Roman" w:hAnsi="Times New Roman" w:cs="Times New Roman"/>
              <w:sz w:val="24"/>
              <w:szCs w:val="24"/>
            </w:rPr>
            <w:fldChar w:fldCharType="separate"/>
          </w:r>
          <w:r>
            <w:rPr>
              <w:rFonts w:ascii="Times New Roman" w:hAnsi="Times New Roman" w:cs="Times New Roman"/>
              <w:sz w:val="24"/>
              <w:szCs w:val="24"/>
            </w:rPr>
            <w:t>61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"_Toc142753430" </w:instrText>
          </w:r>
          <w:r>
            <w:fldChar w:fldCharType="separate"/>
          </w:r>
          <w:r>
            <w:rPr>
              <w:rStyle w:val="16"/>
              <w:rFonts w:ascii="Times New Roman" w:hAnsi="Times New Roman" w:cs="Times New Roman"/>
              <w:b/>
              <w:sz w:val="24"/>
              <w:szCs w:val="24"/>
            </w:rPr>
            <w:t>Chapter Five: Discussion of Findings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_Toc142753430 \h </w:instrText>
          </w:r>
          <w:r>
            <w:rPr>
              <w:rFonts w:ascii="Times New Roman" w:hAnsi="Times New Roman" w:cs="Times New Roman"/>
              <w:sz w:val="24"/>
              <w:szCs w:val="24"/>
            </w:rPr>
            <w:fldChar w:fldCharType="separate"/>
          </w:r>
          <w:r>
            <w:rPr>
              <w:rFonts w:ascii="Times New Roman" w:hAnsi="Times New Roman" w:cs="Times New Roman"/>
              <w:sz w:val="24"/>
              <w:szCs w:val="24"/>
            </w:rPr>
            <w:t>66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"_Toc142753431" </w:instrText>
          </w:r>
          <w:r>
            <w:fldChar w:fldCharType="separate"/>
          </w:r>
          <w:r>
            <w:rPr>
              <w:rStyle w:val="16"/>
              <w:rFonts w:ascii="Times New Roman" w:hAnsi="Times New Roman" w:cs="Times New Roman"/>
              <w:sz w:val="24"/>
              <w:szCs w:val="24"/>
            </w:rPr>
            <w:t>Nurses’ knowledge of the management of post-operative pain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_Toc142753431 \h </w:instrText>
          </w:r>
          <w:r>
            <w:rPr>
              <w:rFonts w:ascii="Times New Roman" w:hAnsi="Times New Roman" w:cs="Times New Roman"/>
              <w:sz w:val="24"/>
              <w:szCs w:val="24"/>
            </w:rPr>
            <w:fldChar w:fldCharType="separate"/>
          </w:r>
          <w:r>
            <w:rPr>
              <w:rFonts w:ascii="Times New Roman" w:hAnsi="Times New Roman" w:cs="Times New Roman"/>
              <w:sz w:val="24"/>
              <w:szCs w:val="24"/>
            </w:rPr>
            <w:t>66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"_Toc142753432" </w:instrText>
          </w:r>
          <w:r>
            <w:fldChar w:fldCharType="separate"/>
          </w:r>
          <w:r>
            <w:rPr>
              <w:rStyle w:val="16"/>
              <w:rFonts w:ascii="Times New Roman" w:hAnsi="Times New Roman" w:cs="Times New Roman"/>
              <w:sz w:val="24"/>
              <w:szCs w:val="24"/>
            </w:rPr>
            <w:t>Nurses' attitude towards post-operative pain management.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_Toc142753432 \h </w:instrText>
          </w:r>
          <w:r>
            <w:rPr>
              <w:rFonts w:ascii="Times New Roman" w:hAnsi="Times New Roman" w:cs="Times New Roman"/>
              <w:sz w:val="24"/>
              <w:szCs w:val="24"/>
            </w:rPr>
            <w:fldChar w:fldCharType="separate"/>
          </w:r>
          <w:r>
            <w:rPr>
              <w:rFonts w:ascii="Times New Roman" w:hAnsi="Times New Roman" w:cs="Times New Roman"/>
              <w:sz w:val="24"/>
              <w:szCs w:val="24"/>
            </w:rPr>
            <w:t>69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"_Toc142753433" </w:instrText>
          </w:r>
          <w:r>
            <w:fldChar w:fldCharType="separate"/>
          </w:r>
          <w:r>
            <w:rPr>
              <w:rStyle w:val="16"/>
              <w:rFonts w:ascii="Times New Roman" w:hAnsi="Times New Roman" w:cs="Times New Roman"/>
              <w:bCs/>
              <w:sz w:val="24"/>
              <w:szCs w:val="24"/>
            </w:rPr>
            <w:t>Nurses’ Practice in the</w:t>
          </w:r>
          <w:r>
            <w:rPr>
              <w:rStyle w:val="16"/>
              <w:rFonts w:ascii="Times New Roman" w:hAnsi="Times New Roman" w:cs="Times New Roman"/>
              <w:sz w:val="24"/>
              <w:szCs w:val="24"/>
            </w:rPr>
            <w:t xml:space="preserve"> Management of Post–Operative Pain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_Toc142753433 \h </w:instrText>
          </w:r>
          <w:r>
            <w:rPr>
              <w:rFonts w:ascii="Times New Roman" w:hAnsi="Times New Roman" w:cs="Times New Roman"/>
              <w:sz w:val="24"/>
              <w:szCs w:val="24"/>
            </w:rPr>
            <w:fldChar w:fldCharType="separate"/>
          </w:r>
          <w:r>
            <w:rPr>
              <w:rFonts w:ascii="Times New Roman" w:hAnsi="Times New Roman" w:cs="Times New Roman"/>
              <w:sz w:val="24"/>
              <w:szCs w:val="24"/>
            </w:rPr>
            <w:t>70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"_Toc142753434" </w:instrText>
          </w:r>
          <w:r>
            <w:fldChar w:fldCharType="separate"/>
          </w:r>
          <w:r>
            <w:rPr>
              <w:rStyle w:val="16"/>
              <w:rFonts w:ascii="Times New Roman" w:hAnsi="Times New Roman" w:cs="Times New Roman"/>
              <w:sz w:val="24"/>
              <w:szCs w:val="24"/>
            </w:rPr>
            <w:t>Limitations of the Research</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_Toc142753434 \h </w:instrText>
          </w:r>
          <w:r>
            <w:rPr>
              <w:rFonts w:ascii="Times New Roman" w:hAnsi="Times New Roman" w:cs="Times New Roman"/>
              <w:sz w:val="24"/>
              <w:szCs w:val="24"/>
            </w:rPr>
            <w:fldChar w:fldCharType="separate"/>
          </w:r>
          <w:r>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"_Toc142753435" </w:instrText>
          </w:r>
          <w:r>
            <w:fldChar w:fldCharType="separate"/>
          </w:r>
          <w:r>
            <w:rPr>
              <w:rStyle w:val="16"/>
              <w:rFonts w:ascii="Times New Roman" w:hAnsi="Times New Roman" w:cs="Times New Roman"/>
              <w:bCs/>
              <w:sz w:val="24"/>
              <w:szCs w:val="24"/>
            </w:rPr>
            <w:t>Conclusion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_Toc142753435 \h </w:instrText>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"_Toc142753436" </w:instrText>
          </w:r>
          <w:r>
            <w:fldChar w:fldCharType="separate"/>
          </w:r>
          <w:r>
            <w:rPr>
              <w:rStyle w:val="16"/>
              <w:rFonts w:ascii="Times New Roman" w:hAnsi="Times New Roman" w:cs="Times New Roman"/>
              <w:bCs/>
              <w:sz w:val="24"/>
              <w:szCs w:val="24"/>
            </w:rPr>
            <w:t>Recommendations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_Toc142753436 \h </w:instrText>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"_Toc142753437" </w:instrText>
          </w:r>
          <w:r>
            <w:fldChar w:fldCharType="separate"/>
          </w:r>
          <w:r>
            <w:rPr>
              <w:rStyle w:val="16"/>
              <w:rFonts w:ascii="Times New Roman" w:hAnsi="Times New Roman" w:cs="Times New Roman"/>
              <w:sz w:val="24"/>
              <w:szCs w:val="24"/>
            </w:rPr>
            <w:t>REFERENCES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_Toc142753437 \h </w:instrText>
          </w:r>
          <w:r>
            <w:rPr>
              <w:rFonts w:ascii="Times New Roman" w:hAnsi="Times New Roman" w:cs="Times New Roman"/>
              <w:sz w:val="24"/>
              <w:szCs w:val="24"/>
            </w:rPr>
            <w:fldChar w:fldCharType="separate"/>
          </w:r>
          <w:r>
            <w:rPr>
              <w:rFonts w:ascii="Times New Roman" w:hAnsi="Times New Roman" w:cs="Times New Roman"/>
              <w:sz w:val="24"/>
              <w:szCs w:val="24"/>
            </w:rPr>
            <w:t>75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"_Toc142753438" </w:instrText>
          </w:r>
          <w:r>
            <w:fldChar w:fldCharType="separate"/>
          </w:r>
          <w:r>
            <w:rPr>
              <w:rStyle w:val="16"/>
              <w:rFonts w:ascii="Times New Roman" w:hAnsi="Times New Roman" w:cs="Times New Roman"/>
              <w:sz w:val="24"/>
              <w:szCs w:val="24"/>
              <w:lang w:val="fr-FR"/>
            </w:rPr>
            <w:t>APPENDICES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_Toc142753438 \h </w:instrText>
          </w:r>
          <w:r>
            <w:rPr>
              <w:rFonts w:ascii="Times New Roman" w:hAnsi="Times New Roman" w:cs="Times New Roman"/>
              <w:sz w:val="24"/>
              <w:szCs w:val="24"/>
            </w:rPr>
            <w:fldChar w:fldCharType="separate"/>
          </w:r>
          <w:r>
            <w:rPr>
              <w:rFonts w:ascii="Times New Roman" w:hAnsi="Times New Roman" w:cs="Times New Roman"/>
              <w:sz w:val="24"/>
              <w:szCs w:val="24"/>
            </w:rPr>
            <w:t>84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"_Toc142753439" </w:instrText>
          </w:r>
          <w:r>
            <w:fldChar w:fldCharType="separate"/>
          </w:r>
          <w:r>
            <w:rPr>
              <w:rStyle w:val="16"/>
              <w:rFonts w:ascii="Times New Roman" w:hAnsi="Times New Roman" w:cs="Times New Roman"/>
              <w:sz w:val="24"/>
              <w:szCs w:val="24"/>
              <w:lang w:val="fr-FR"/>
            </w:rPr>
            <w:t>Appendix A: Questionnaire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_Toc142753439 \h </w:instrText>
          </w:r>
          <w:r>
            <w:rPr>
              <w:rFonts w:ascii="Times New Roman" w:hAnsi="Times New Roman" w:cs="Times New Roman"/>
              <w:sz w:val="24"/>
              <w:szCs w:val="24"/>
            </w:rPr>
            <w:fldChar w:fldCharType="separate"/>
          </w:r>
          <w:r>
            <w:rPr>
              <w:rFonts w:ascii="Times New Roman" w:hAnsi="Times New Roman" w:cs="Times New Roman"/>
              <w:sz w:val="24"/>
              <w:szCs w:val="24"/>
            </w:rPr>
            <w:t>84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2"/>
            <w:tabs>
              <w:tab w:val="right" w:leader="dot" w:pos="9350"/>
            </w:tabs>
            <w:rPr>
              <w:rFonts w:ascii="Times New Roman" w:hAnsi="Times New Roman" w:cs="Times New Roman" w:eastAsiaTheme="minorEastAsia"/>
              <w:sz w:val="24"/>
              <w:szCs w:val="24"/>
            </w:rPr>
          </w:pPr>
          <w:r>
            <w:fldChar w:fldCharType="begin"/>
          </w:r>
          <w:r>
            <w:instrText xml:space="preserve"> HYPERLINK \l "_Toc142753443" </w:instrText>
          </w:r>
          <w:r>
            <w:fldChar w:fldCharType="separate"/>
          </w:r>
          <w:r>
            <w:rPr>
              <w:rStyle w:val="16"/>
              <w:rFonts w:ascii="Times New Roman" w:hAnsi="Times New Roman" w:cs="Times New Roman"/>
              <w:sz w:val="24"/>
              <w:szCs w:val="24"/>
              <w:lang w:eastAsia="ja-JP"/>
            </w:rPr>
            <w:t>Glossary of Terms and Acronyms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_Toc142753443 \h </w:instrText>
          </w:r>
          <w:r>
            <w:rPr>
              <w:rFonts w:ascii="Times New Roman" w:hAnsi="Times New Roman" w:cs="Times New Roman"/>
              <w:sz w:val="24"/>
              <w:szCs w:val="24"/>
            </w:rPr>
            <w:fldChar w:fldCharType="separate"/>
          </w:r>
          <w:r>
            <w:rPr>
              <w:rFonts w:ascii="Times New Roman" w:hAnsi="Times New Roman" w:cs="Times New Roman"/>
              <w:sz w:val="24"/>
              <w:szCs w:val="24"/>
            </w:rPr>
            <w:t>91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rPr>
              <w:rFonts w:ascii="Times New Roman" w:hAnsi="Times New Roman" w:cs="Times New Roman"/>
              <w:b/>
              <w:bCs/>
              <w:sz w:val="24"/>
              <w:szCs w:val="24"/>
            </w:rPr>
          </w:pPr>
          <w:r>
            <w:rPr>
              <w:rFonts w:ascii="Times New Roman" w:hAnsi="Times New Roman" w:cs="Times New Roman"/>
              <w:b/>
              <w:bCs/>
              <w:sz w:val="24"/>
              <w:szCs w:val="24"/>
            </w:rPr>
            <w:fldChar w:fldCharType="end"/>
          </w:r>
        </w:p>
        <w:p>
          <w:pPr>
            <w:rPr>
              <w:rFonts w:ascii="Times New Roman" w:hAnsi="Times New Roman" w:cs="Times New Roman"/>
              <w:sz w:val="24"/>
              <w:szCs w:val="24"/>
            </w:rPr>
          </w:pPr>
        </w:p>
      </w:sdtContent>
    </w:sdt>
    <w:p>
      <w:pPr>
        <w:rPr>
          <w:rFonts w:ascii="Times New Roman" w:hAnsi="Times New Roman" w:cs="Times New Roman"/>
          <w:sz w:val="24"/>
          <w:szCs w:val="24"/>
        </w:rPr>
      </w:pPr>
    </w:p>
    <w:p>
      <w:pPr>
        <w:pStyle w:val="3"/>
        <w:jc w:val="center"/>
        <w:rPr>
          <w:rFonts w:ascii="Times New Roman" w:hAnsi="Times New Roman" w:cs="Times New Roman"/>
          <w:b w:val="0"/>
          <w:sz w:val="24"/>
          <w:szCs w:val="24"/>
        </w:rPr>
      </w:pPr>
      <w:bookmarkStart w:id="4" w:name="_Toc134604124"/>
      <w:bookmarkStart w:id="5" w:name="_Toc142753370"/>
      <w:r>
        <w:rPr>
          <w:rFonts w:ascii="Times New Roman" w:hAnsi="Times New Roman" w:cs="Times New Roman"/>
          <w:sz w:val="24"/>
          <w:szCs w:val="24"/>
        </w:rPr>
        <w:t>List of Tables</w:t>
      </w:r>
      <w:bookmarkEnd w:id="4"/>
      <w:bookmarkEnd w:id="5"/>
    </w:p>
    <w:p>
      <w:pPr>
        <w:pStyle w:val="20"/>
        <w:tabs>
          <w:tab w:val="right" w:leader="dot" w:pos="9350"/>
        </w:tabs>
        <w:spacing w:line="360" w:lineRule="auto"/>
        <w:rPr>
          <w:rFonts w:ascii="Times New Roman" w:hAnsi="Times New Roman" w:cs="Times New Roman" w:eastAsiaTheme="minorEastAsia"/>
          <w:kern w:val="2"/>
          <w:sz w:val="24"/>
          <w:szCs w:val="24"/>
          <w14:ligatures w14:val="standardContextual"/>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"Table" </w:instrText>
      </w:r>
      <w:r>
        <w:rPr>
          <w:rFonts w:ascii="Times New Roman" w:hAnsi="Times New Roman" w:cs="Times New Roman"/>
          <w:sz w:val="24"/>
          <w:szCs w:val="24"/>
        </w:rPr>
        <w:fldChar w:fldCharType="separate"/>
      </w:r>
      <w:r>
        <w:fldChar w:fldCharType="begin"/>
      </w:r>
      <w:r>
        <w:instrText xml:space="preserve"> HYPERLINK \l "_Toc134608189" </w:instrText>
      </w:r>
      <w:r>
        <w:fldChar w:fldCharType="separate"/>
      </w:r>
      <w:r>
        <w:rPr>
          <w:rStyle w:val="16"/>
          <w:rFonts w:ascii="Times New Roman" w:hAnsi="Times New Roman" w:cs="Times New Roman"/>
          <w:sz w:val="24"/>
          <w:szCs w:val="24"/>
        </w:rPr>
        <w:t>Table 1:Background characteristics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_Toc134608189 \h </w:instrText>
      </w:r>
      <w:r>
        <w:rPr>
          <w:rFonts w:ascii="Times New Roman" w:hAnsi="Times New Roman" w:cs="Times New Roman"/>
          <w:sz w:val="24"/>
          <w:szCs w:val="24"/>
        </w:rPr>
        <w:fldChar w:fldCharType="separate"/>
      </w:r>
      <w:r>
        <w:rPr>
          <w:rFonts w:ascii="Times New Roman" w:hAnsi="Times New Roman" w:cs="Times New Roman"/>
          <w:sz w:val="24"/>
          <w:szCs w:val="24"/>
        </w:rPr>
        <w:t>44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9350"/>
        </w:tabs>
        <w:spacing w:line="360" w:lineRule="auto"/>
        <w:rPr>
          <w:rFonts w:ascii="Times New Roman" w:hAnsi="Times New Roman" w:cs="Times New Roman" w:eastAsiaTheme="minorEastAsia"/>
          <w:kern w:val="2"/>
          <w:sz w:val="24"/>
          <w:szCs w:val="24"/>
          <w14:ligatures w14:val="standardContextual"/>
        </w:rPr>
      </w:pPr>
      <w:r>
        <w:fldChar w:fldCharType="begin"/>
      </w:r>
      <w:r>
        <w:instrText xml:space="preserve"> HYPERLINK \l "_Toc134608190" </w:instrText>
      </w:r>
      <w:r>
        <w:fldChar w:fldCharType="separate"/>
      </w:r>
      <w:r>
        <w:rPr>
          <w:rStyle w:val="16"/>
          <w:rFonts w:ascii="Times New Roman" w:hAnsi="Times New Roman" w:cs="Times New Roman"/>
          <w:sz w:val="24"/>
          <w:szCs w:val="24"/>
        </w:rPr>
        <w:t>Table 2 Scoring post-operative pain in the surgical ward.</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_Toc134608190 \h </w:instrText>
      </w:r>
      <w:r>
        <w:rPr>
          <w:rFonts w:ascii="Times New Roman" w:hAnsi="Times New Roman" w:cs="Times New Roman"/>
          <w:sz w:val="24"/>
          <w:szCs w:val="24"/>
        </w:rPr>
        <w:fldChar w:fldCharType="separate"/>
      </w:r>
      <w:r>
        <w:rPr>
          <w:rFonts w:ascii="Times New Roman" w:hAnsi="Times New Roman" w:cs="Times New Roman"/>
          <w:sz w:val="24"/>
          <w:szCs w:val="24"/>
        </w:rPr>
        <w:t>45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9350"/>
        </w:tabs>
        <w:spacing w:line="360" w:lineRule="auto"/>
        <w:rPr>
          <w:rFonts w:ascii="Times New Roman" w:hAnsi="Times New Roman" w:cs="Times New Roman" w:eastAsiaTheme="minorEastAsia"/>
          <w:kern w:val="2"/>
          <w:sz w:val="24"/>
          <w:szCs w:val="24"/>
          <w14:ligatures w14:val="standardContextual"/>
        </w:rPr>
      </w:pPr>
      <w:r>
        <w:fldChar w:fldCharType="begin"/>
      </w:r>
      <w:r>
        <w:instrText xml:space="preserve"> HYPERLINK \l "_Toc134608191" </w:instrText>
      </w:r>
      <w:r>
        <w:fldChar w:fldCharType="separate"/>
      </w:r>
      <w:r>
        <w:rPr>
          <w:rStyle w:val="16"/>
          <w:rFonts w:ascii="Times New Roman" w:hAnsi="Times New Roman" w:cs="Times New Roman"/>
          <w:sz w:val="24"/>
          <w:szCs w:val="24"/>
        </w:rPr>
        <w:t>Table 3 Scoring post operative pain on the surgical ward.</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_Toc134608191 \h </w:instrText>
      </w:r>
      <w:r>
        <w:rPr>
          <w:rFonts w:ascii="Times New Roman" w:hAnsi="Times New Roman" w:cs="Times New Roman"/>
          <w:sz w:val="24"/>
          <w:szCs w:val="24"/>
        </w:rPr>
        <w:fldChar w:fldCharType="separate"/>
      </w:r>
      <w:r>
        <w:rPr>
          <w:rFonts w:ascii="Times New Roman" w:hAnsi="Times New Roman" w:cs="Times New Roman"/>
          <w:sz w:val="24"/>
          <w:szCs w:val="24"/>
        </w:rPr>
        <w:t>46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9350"/>
        </w:tabs>
        <w:spacing w:line="360" w:lineRule="auto"/>
        <w:rPr>
          <w:rFonts w:ascii="Times New Roman" w:hAnsi="Times New Roman" w:cs="Times New Roman" w:eastAsiaTheme="minorEastAsia"/>
          <w:kern w:val="2"/>
          <w:sz w:val="24"/>
          <w:szCs w:val="24"/>
          <w14:ligatures w14:val="standardContextual"/>
        </w:rPr>
      </w:pPr>
      <w:r>
        <w:fldChar w:fldCharType="begin"/>
      </w:r>
      <w:r>
        <w:instrText xml:space="preserve"> HYPERLINK \l "_Toc134608192" </w:instrText>
      </w:r>
      <w:r>
        <w:fldChar w:fldCharType="separate"/>
      </w:r>
      <w:r>
        <w:rPr>
          <w:rStyle w:val="16"/>
          <w:rFonts w:ascii="Times New Roman" w:hAnsi="Times New Roman" w:cs="Times New Roman"/>
          <w:sz w:val="24"/>
          <w:szCs w:val="24"/>
        </w:rPr>
        <w:t>Table 4 Methods of post operative pain management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_Toc134608192 \h </w:instrText>
      </w:r>
      <w:r>
        <w:rPr>
          <w:rFonts w:ascii="Times New Roman" w:hAnsi="Times New Roman" w:cs="Times New Roman"/>
          <w:sz w:val="24"/>
          <w:szCs w:val="24"/>
        </w:rPr>
        <w:fldChar w:fldCharType="separate"/>
      </w:r>
      <w:r>
        <w:rPr>
          <w:rFonts w:ascii="Times New Roman" w:hAnsi="Times New Roman" w:cs="Times New Roman"/>
          <w:sz w:val="24"/>
          <w:szCs w:val="24"/>
        </w:rPr>
        <w:t>47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9350"/>
        </w:tabs>
        <w:spacing w:line="360" w:lineRule="auto"/>
        <w:rPr>
          <w:rFonts w:ascii="Times New Roman" w:hAnsi="Times New Roman" w:cs="Times New Roman" w:eastAsiaTheme="minorEastAsia"/>
          <w:kern w:val="2"/>
          <w:sz w:val="24"/>
          <w:szCs w:val="24"/>
          <w14:ligatures w14:val="standardContextual"/>
        </w:rPr>
      </w:pPr>
      <w:r>
        <w:fldChar w:fldCharType="begin"/>
      </w:r>
      <w:r>
        <w:instrText xml:space="preserve"> HYPERLINK \l "_Toc134608193" </w:instrText>
      </w:r>
      <w:r>
        <w:fldChar w:fldCharType="separate"/>
      </w:r>
      <w:r>
        <w:rPr>
          <w:rStyle w:val="16"/>
          <w:rFonts w:ascii="Times New Roman" w:hAnsi="Times New Roman" w:cs="Times New Roman"/>
          <w:sz w:val="24"/>
          <w:szCs w:val="24"/>
        </w:rPr>
        <w:t>Table 5 Assessment of post operative pain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_Toc134608193 \h </w:instrText>
      </w:r>
      <w:r>
        <w:rPr>
          <w:rFonts w:ascii="Times New Roman" w:hAnsi="Times New Roman" w:cs="Times New Roman"/>
          <w:sz w:val="24"/>
          <w:szCs w:val="24"/>
        </w:rPr>
        <w:fldChar w:fldCharType="separate"/>
      </w:r>
      <w:r>
        <w:rPr>
          <w:rFonts w:ascii="Times New Roman" w:hAnsi="Times New Roman" w:cs="Times New Roman"/>
          <w:sz w:val="24"/>
          <w:szCs w:val="24"/>
        </w:rPr>
        <w:t>48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9350"/>
        </w:tabs>
        <w:spacing w:line="360" w:lineRule="auto"/>
        <w:rPr>
          <w:rFonts w:ascii="Times New Roman" w:hAnsi="Times New Roman" w:cs="Times New Roman" w:eastAsiaTheme="minorEastAsia"/>
          <w:kern w:val="2"/>
          <w:sz w:val="24"/>
          <w:szCs w:val="24"/>
          <w14:ligatures w14:val="standardContextual"/>
        </w:rPr>
      </w:pPr>
      <w:r>
        <w:fldChar w:fldCharType="begin"/>
      </w:r>
      <w:r>
        <w:instrText xml:space="preserve"> HYPERLINK \l "_Toc134608194" </w:instrText>
      </w:r>
      <w:r>
        <w:fldChar w:fldCharType="separate"/>
      </w:r>
      <w:r>
        <w:rPr>
          <w:rStyle w:val="16"/>
          <w:rFonts w:ascii="Times New Roman" w:hAnsi="Times New Roman" w:cs="Times New Roman"/>
          <w:sz w:val="24"/>
          <w:szCs w:val="24"/>
        </w:rPr>
        <w:t>Table 6 Rating and scoring post-operative pain.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_Toc134608194 \h </w:instrText>
      </w:r>
      <w:r>
        <w:rPr>
          <w:rFonts w:ascii="Times New Roman" w:hAnsi="Times New Roman" w:cs="Times New Roman"/>
          <w:sz w:val="24"/>
          <w:szCs w:val="24"/>
        </w:rPr>
        <w:fldChar w:fldCharType="separate"/>
      </w:r>
      <w:r>
        <w:rPr>
          <w:rFonts w:ascii="Times New Roman" w:hAnsi="Times New Roman" w:cs="Times New Roman"/>
          <w:sz w:val="24"/>
          <w:szCs w:val="24"/>
        </w:rPr>
        <w:t>50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9350"/>
        </w:tabs>
        <w:spacing w:line="360" w:lineRule="auto"/>
        <w:rPr>
          <w:rFonts w:ascii="Times New Roman" w:hAnsi="Times New Roman" w:cs="Times New Roman" w:eastAsiaTheme="minorEastAsia"/>
          <w:kern w:val="2"/>
          <w:sz w:val="24"/>
          <w:szCs w:val="24"/>
          <w14:ligatures w14:val="standardContextual"/>
        </w:rPr>
      </w:pPr>
      <w:r>
        <w:fldChar w:fldCharType="begin"/>
      </w:r>
      <w:r>
        <w:instrText xml:space="preserve"> HYPERLINK \l "_Toc134608195" </w:instrText>
      </w:r>
      <w:r>
        <w:fldChar w:fldCharType="separate"/>
      </w:r>
      <w:r>
        <w:rPr>
          <w:rStyle w:val="16"/>
          <w:rFonts w:ascii="Times New Roman" w:hAnsi="Times New Roman" w:cs="Times New Roman"/>
          <w:sz w:val="24"/>
          <w:szCs w:val="24"/>
        </w:rPr>
        <w:t>Table 7 Rating and scoring post-operative pain.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_Toc134608195 \h </w:instrText>
      </w:r>
      <w:r>
        <w:rPr>
          <w:rFonts w:ascii="Times New Roman" w:hAnsi="Times New Roman" w:cs="Times New Roman"/>
          <w:sz w:val="24"/>
          <w:szCs w:val="24"/>
        </w:rPr>
        <w:fldChar w:fldCharType="separate"/>
      </w:r>
      <w:r>
        <w:rPr>
          <w:rFonts w:ascii="Times New Roman" w:hAnsi="Times New Roman" w:cs="Times New Roman"/>
          <w:sz w:val="24"/>
          <w:szCs w:val="24"/>
        </w:rPr>
        <w:t>51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9350"/>
        </w:tabs>
        <w:spacing w:line="360" w:lineRule="auto"/>
        <w:rPr>
          <w:rFonts w:ascii="Times New Roman" w:hAnsi="Times New Roman" w:cs="Times New Roman" w:eastAsiaTheme="minorEastAsia"/>
          <w:kern w:val="2"/>
          <w:sz w:val="24"/>
          <w:szCs w:val="24"/>
          <w14:ligatures w14:val="standardContextual"/>
        </w:rPr>
      </w:pPr>
      <w:r>
        <w:fldChar w:fldCharType="begin"/>
      </w:r>
      <w:r>
        <w:instrText xml:space="preserve"> HYPERLINK \l "_Toc134608196" </w:instrText>
      </w:r>
      <w:r>
        <w:fldChar w:fldCharType="separate"/>
      </w:r>
      <w:r>
        <w:rPr>
          <w:rStyle w:val="16"/>
          <w:rFonts w:ascii="Times New Roman" w:hAnsi="Times New Roman" w:cs="Times New Roman"/>
          <w:sz w:val="24"/>
          <w:szCs w:val="24"/>
        </w:rPr>
        <w:t>Table 8  Methods of postoperative pain management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_Toc134608196 \h </w:instrText>
      </w:r>
      <w:r>
        <w:rPr>
          <w:rFonts w:ascii="Times New Roman" w:hAnsi="Times New Roman" w:cs="Times New Roman"/>
          <w:sz w:val="24"/>
          <w:szCs w:val="24"/>
        </w:rPr>
        <w:fldChar w:fldCharType="separate"/>
      </w:r>
      <w:r>
        <w:rPr>
          <w:rFonts w:ascii="Times New Roman" w:hAnsi="Times New Roman" w:cs="Times New Roman"/>
          <w:sz w:val="24"/>
          <w:szCs w:val="24"/>
        </w:rPr>
        <w:t>52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9350"/>
        </w:tabs>
        <w:spacing w:line="360" w:lineRule="auto"/>
        <w:rPr>
          <w:rFonts w:ascii="Times New Roman" w:hAnsi="Times New Roman" w:cs="Times New Roman" w:eastAsiaTheme="minorEastAsia"/>
          <w:kern w:val="2"/>
          <w:sz w:val="24"/>
          <w:szCs w:val="24"/>
          <w14:ligatures w14:val="standardContextual"/>
        </w:rPr>
      </w:pPr>
      <w:r>
        <w:fldChar w:fldCharType="begin"/>
      </w:r>
      <w:r>
        <w:instrText xml:space="preserve"> HYPERLINK \l "_Toc134608197" </w:instrText>
      </w:r>
      <w:r>
        <w:fldChar w:fldCharType="separate"/>
      </w:r>
      <w:r>
        <w:rPr>
          <w:rStyle w:val="16"/>
          <w:rFonts w:ascii="Times New Roman" w:hAnsi="Times New Roman" w:cs="Times New Roman"/>
          <w:sz w:val="24"/>
          <w:szCs w:val="24"/>
        </w:rPr>
        <w:t>Table 9 Postoperative pain assessment.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_Toc134608197 \h </w:instrText>
      </w:r>
      <w:r>
        <w:rPr>
          <w:rFonts w:ascii="Times New Roman" w:hAnsi="Times New Roman" w:cs="Times New Roman"/>
          <w:sz w:val="24"/>
          <w:szCs w:val="24"/>
        </w:rPr>
        <w:fldChar w:fldCharType="separate"/>
      </w:r>
      <w:r>
        <w:rPr>
          <w:rFonts w:ascii="Times New Roman" w:hAnsi="Times New Roman" w:cs="Times New Roman"/>
          <w:sz w:val="24"/>
          <w:szCs w:val="24"/>
        </w:rPr>
        <w:t>54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9350"/>
        </w:tabs>
        <w:spacing w:line="360" w:lineRule="auto"/>
        <w:rPr>
          <w:rFonts w:ascii="Times New Roman" w:hAnsi="Times New Roman" w:cs="Times New Roman" w:eastAsiaTheme="minorEastAsia"/>
          <w:kern w:val="2"/>
          <w:sz w:val="24"/>
          <w:szCs w:val="24"/>
          <w14:ligatures w14:val="standardContextual"/>
        </w:rPr>
      </w:pPr>
      <w:r>
        <w:fldChar w:fldCharType="begin"/>
      </w:r>
      <w:r>
        <w:instrText xml:space="preserve"> HYPERLINK \l "_Toc134608198" </w:instrText>
      </w:r>
      <w:r>
        <w:fldChar w:fldCharType="separate"/>
      </w:r>
      <w:r>
        <w:rPr>
          <w:rStyle w:val="16"/>
          <w:rFonts w:ascii="Times New Roman" w:hAnsi="Times New Roman" w:cs="Times New Roman"/>
          <w:sz w:val="24"/>
          <w:szCs w:val="24"/>
        </w:rPr>
        <w:t>Table 10 Comparison of pre and post knowledge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_Toc134608198 \h </w:instrText>
      </w:r>
      <w:r>
        <w:rPr>
          <w:rFonts w:ascii="Times New Roman" w:hAnsi="Times New Roman" w:cs="Times New Roman"/>
          <w:sz w:val="24"/>
          <w:szCs w:val="24"/>
        </w:rPr>
        <w:fldChar w:fldCharType="separate"/>
      </w:r>
      <w:r>
        <w:rPr>
          <w:rFonts w:ascii="Times New Roman" w:hAnsi="Times New Roman" w:cs="Times New Roman"/>
          <w:sz w:val="24"/>
          <w:szCs w:val="24"/>
        </w:rPr>
        <w:t>55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9350"/>
        </w:tabs>
        <w:spacing w:line="360" w:lineRule="auto"/>
        <w:rPr>
          <w:rFonts w:ascii="Times New Roman" w:hAnsi="Times New Roman" w:cs="Times New Roman" w:eastAsiaTheme="minorEastAsia"/>
          <w:kern w:val="2"/>
          <w:sz w:val="24"/>
          <w:szCs w:val="24"/>
          <w14:ligatures w14:val="standardContextual"/>
        </w:rPr>
      </w:pPr>
      <w:r>
        <w:fldChar w:fldCharType="begin"/>
      </w:r>
      <w:r>
        <w:instrText xml:space="preserve"> HYPERLINK \l "_Toc134608199" </w:instrText>
      </w:r>
      <w:r>
        <w:fldChar w:fldCharType="separate"/>
      </w:r>
      <w:r>
        <w:rPr>
          <w:rStyle w:val="16"/>
          <w:rFonts w:ascii="Times New Roman" w:hAnsi="Times New Roman" w:cs="Times New Roman"/>
          <w:sz w:val="24"/>
          <w:szCs w:val="24"/>
        </w:rPr>
        <w:t>Table 11 Paired sample test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_Toc134608199 \h </w:instrText>
      </w:r>
      <w:r>
        <w:rPr>
          <w:rFonts w:ascii="Times New Roman" w:hAnsi="Times New Roman" w:cs="Times New Roman"/>
          <w:sz w:val="24"/>
          <w:szCs w:val="24"/>
        </w:rPr>
        <w:fldChar w:fldCharType="separate"/>
      </w:r>
      <w:r>
        <w:rPr>
          <w:rFonts w:ascii="Times New Roman" w:hAnsi="Times New Roman" w:cs="Times New Roman"/>
          <w:sz w:val="24"/>
          <w:szCs w:val="24"/>
        </w:rPr>
        <w:t>56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9350"/>
        </w:tabs>
        <w:spacing w:line="360" w:lineRule="auto"/>
        <w:rPr>
          <w:rFonts w:ascii="Times New Roman" w:hAnsi="Times New Roman" w:cs="Times New Roman" w:eastAsiaTheme="minorEastAsia"/>
          <w:kern w:val="2"/>
          <w:sz w:val="24"/>
          <w:szCs w:val="24"/>
          <w14:ligatures w14:val="standardContextual"/>
        </w:rPr>
      </w:pPr>
      <w:r>
        <w:fldChar w:fldCharType="begin"/>
      </w:r>
      <w:r>
        <w:instrText xml:space="preserve"> HYPERLINK \l "_Toc134608200" </w:instrText>
      </w:r>
      <w:r>
        <w:fldChar w:fldCharType="separate"/>
      </w:r>
      <w:r>
        <w:rPr>
          <w:rStyle w:val="16"/>
          <w:rFonts w:ascii="Times New Roman" w:hAnsi="Times New Roman" w:cs="Times New Roman"/>
          <w:sz w:val="24"/>
          <w:szCs w:val="24"/>
        </w:rPr>
        <w:t>Table 12 Pretest attitude toward post-operative pain management.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_Toc134608200 \h </w:instrText>
      </w:r>
      <w:r>
        <w:rPr>
          <w:rFonts w:ascii="Times New Roman" w:hAnsi="Times New Roman" w:cs="Times New Roman"/>
          <w:sz w:val="24"/>
          <w:szCs w:val="24"/>
        </w:rPr>
        <w:fldChar w:fldCharType="separate"/>
      </w:r>
      <w:r>
        <w:rPr>
          <w:rFonts w:ascii="Times New Roman" w:hAnsi="Times New Roman" w:cs="Times New Roman"/>
          <w:sz w:val="24"/>
          <w:szCs w:val="24"/>
        </w:rPr>
        <w:t>57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9350"/>
        </w:tabs>
        <w:spacing w:line="360" w:lineRule="auto"/>
        <w:rPr>
          <w:rFonts w:ascii="Times New Roman" w:hAnsi="Times New Roman" w:cs="Times New Roman" w:eastAsiaTheme="minorEastAsia"/>
          <w:kern w:val="2"/>
          <w:sz w:val="24"/>
          <w:szCs w:val="24"/>
          <w14:ligatures w14:val="standardContextual"/>
        </w:rPr>
      </w:pPr>
      <w:r>
        <w:fldChar w:fldCharType="begin"/>
      </w:r>
      <w:r>
        <w:instrText xml:space="preserve"> HYPERLINK \l "_Toc134608201" </w:instrText>
      </w:r>
      <w:r>
        <w:fldChar w:fldCharType="separate"/>
      </w:r>
      <w:r>
        <w:rPr>
          <w:rStyle w:val="16"/>
          <w:rFonts w:ascii="Times New Roman" w:hAnsi="Times New Roman" w:cs="Times New Roman"/>
          <w:sz w:val="24"/>
          <w:szCs w:val="24"/>
        </w:rPr>
        <w:t>Table 13 Attitude pretest towards postoperative pain assessment.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_Toc134608201 \h </w:instrText>
      </w:r>
      <w:r>
        <w:rPr>
          <w:rFonts w:ascii="Times New Roman" w:hAnsi="Times New Roman" w:cs="Times New Roman"/>
          <w:sz w:val="24"/>
          <w:szCs w:val="24"/>
        </w:rPr>
        <w:fldChar w:fldCharType="separate"/>
      </w:r>
      <w:r>
        <w:rPr>
          <w:rFonts w:ascii="Times New Roman" w:hAnsi="Times New Roman" w:cs="Times New Roman"/>
          <w:sz w:val="24"/>
          <w:szCs w:val="24"/>
        </w:rPr>
        <w:t>59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9350"/>
        </w:tabs>
        <w:spacing w:line="360" w:lineRule="auto"/>
        <w:rPr>
          <w:rFonts w:ascii="Times New Roman" w:hAnsi="Times New Roman" w:cs="Times New Roman" w:eastAsiaTheme="minorEastAsia"/>
          <w:kern w:val="2"/>
          <w:sz w:val="24"/>
          <w:szCs w:val="24"/>
          <w14:ligatures w14:val="standardContextual"/>
        </w:rPr>
      </w:pPr>
      <w:r>
        <w:fldChar w:fldCharType="begin"/>
      </w:r>
      <w:r>
        <w:instrText xml:space="preserve"> HYPERLINK \l "_Toc134608202" </w:instrText>
      </w:r>
      <w:r>
        <w:fldChar w:fldCharType="separate"/>
      </w:r>
      <w:r>
        <w:rPr>
          <w:rStyle w:val="16"/>
          <w:rFonts w:ascii="Times New Roman" w:hAnsi="Times New Roman" w:cs="Times New Roman"/>
          <w:sz w:val="24"/>
          <w:szCs w:val="24"/>
        </w:rPr>
        <w:t>Table 14 Posttest attitude towards post-operative pain management.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_Toc134608202 \h </w:instrText>
      </w:r>
      <w:r>
        <w:rPr>
          <w:rFonts w:ascii="Times New Roman" w:hAnsi="Times New Roman" w:cs="Times New Roman"/>
          <w:sz w:val="24"/>
          <w:szCs w:val="24"/>
        </w:rPr>
        <w:fldChar w:fldCharType="separate"/>
      </w:r>
      <w:r>
        <w:rPr>
          <w:rFonts w:ascii="Times New Roman" w:hAnsi="Times New Roman" w:cs="Times New Roman"/>
          <w:sz w:val="24"/>
          <w:szCs w:val="24"/>
        </w:rPr>
        <w:t>61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9350"/>
        </w:tabs>
        <w:spacing w:line="360" w:lineRule="auto"/>
        <w:rPr>
          <w:rFonts w:ascii="Times New Roman" w:hAnsi="Times New Roman" w:cs="Times New Roman" w:eastAsiaTheme="minorEastAsia"/>
          <w:kern w:val="2"/>
          <w:sz w:val="24"/>
          <w:szCs w:val="24"/>
          <w14:ligatures w14:val="standardContextual"/>
        </w:rPr>
      </w:pPr>
      <w:r>
        <w:fldChar w:fldCharType="begin"/>
      </w:r>
      <w:r>
        <w:instrText xml:space="preserve"> HYPERLINK \l "_Toc134608203" </w:instrText>
      </w:r>
      <w:r>
        <w:fldChar w:fldCharType="separate"/>
      </w:r>
      <w:r>
        <w:rPr>
          <w:rStyle w:val="16"/>
          <w:rFonts w:ascii="Times New Roman" w:hAnsi="Times New Roman" w:cs="Times New Roman"/>
          <w:sz w:val="24"/>
          <w:szCs w:val="24"/>
        </w:rPr>
        <w:t>Table 15 Posttest attitude towards post-operative pain management.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_Toc134608203 \h </w:instrText>
      </w:r>
      <w:r>
        <w:rPr>
          <w:rFonts w:ascii="Times New Roman" w:hAnsi="Times New Roman" w:cs="Times New Roman"/>
          <w:sz w:val="24"/>
          <w:szCs w:val="24"/>
        </w:rPr>
        <w:fldChar w:fldCharType="separate"/>
      </w:r>
      <w:r>
        <w:rPr>
          <w:rFonts w:ascii="Times New Roman" w:hAnsi="Times New Roman" w:cs="Times New Roman"/>
          <w:sz w:val="24"/>
          <w:szCs w:val="24"/>
        </w:rPr>
        <w:t>63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9350"/>
        </w:tabs>
        <w:spacing w:line="360" w:lineRule="auto"/>
        <w:rPr>
          <w:rFonts w:ascii="Times New Roman" w:hAnsi="Times New Roman" w:cs="Times New Roman" w:eastAsiaTheme="minorEastAsia"/>
          <w:kern w:val="2"/>
          <w:sz w:val="24"/>
          <w:szCs w:val="24"/>
          <w14:ligatures w14:val="standardContextual"/>
        </w:rPr>
      </w:pPr>
      <w:r>
        <w:fldChar w:fldCharType="begin"/>
      </w:r>
      <w:r>
        <w:instrText xml:space="preserve"> HYPERLINK \l "_Toc134608204" </w:instrText>
      </w:r>
      <w:r>
        <w:fldChar w:fldCharType="separate"/>
      </w:r>
      <w:r>
        <w:rPr>
          <w:rStyle w:val="16"/>
          <w:rFonts w:ascii="Times New Roman" w:hAnsi="Times New Roman" w:cs="Times New Roman"/>
          <w:sz w:val="24"/>
          <w:szCs w:val="24"/>
        </w:rPr>
        <w:t>Table 16 Comparison of pretest and posttest totals.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_Toc134608204 \h </w:instrText>
      </w:r>
      <w:r>
        <w:rPr>
          <w:rFonts w:ascii="Times New Roman" w:hAnsi="Times New Roman" w:cs="Times New Roman"/>
          <w:sz w:val="24"/>
          <w:szCs w:val="24"/>
        </w:rPr>
        <w:fldChar w:fldCharType="separate"/>
      </w:r>
      <w:r>
        <w:rPr>
          <w:rFonts w:ascii="Times New Roman" w:hAnsi="Times New Roman" w:cs="Times New Roman"/>
          <w:sz w:val="24"/>
          <w:szCs w:val="24"/>
        </w:rPr>
        <w:t>64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9350"/>
        </w:tabs>
        <w:spacing w:line="360" w:lineRule="auto"/>
        <w:rPr>
          <w:rFonts w:ascii="Times New Roman" w:hAnsi="Times New Roman" w:cs="Times New Roman" w:eastAsiaTheme="minorEastAsia"/>
          <w:kern w:val="2"/>
          <w:sz w:val="24"/>
          <w:szCs w:val="24"/>
          <w14:ligatures w14:val="standardContextual"/>
        </w:rPr>
      </w:pPr>
      <w:r>
        <w:fldChar w:fldCharType="begin"/>
      </w:r>
      <w:r>
        <w:instrText xml:space="preserve"> HYPERLINK \l "_Toc134608205" </w:instrText>
      </w:r>
      <w:r>
        <w:fldChar w:fldCharType="separate"/>
      </w:r>
      <w:r>
        <w:rPr>
          <w:rStyle w:val="16"/>
          <w:rFonts w:ascii="Times New Roman" w:hAnsi="Times New Roman" w:cs="Times New Roman"/>
          <w:sz w:val="24"/>
          <w:szCs w:val="24"/>
        </w:rPr>
        <w:t>Table 17 Paired sample statistics for attitude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_Toc134608205 \h </w:instrText>
      </w:r>
      <w:r>
        <w:rPr>
          <w:rFonts w:ascii="Times New Roman" w:hAnsi="Times New Roman" w:cs="Times New Roman"/>
          <w:sz w:val="24"/>
          <w:szCs w:val="24"/>
        </w:rPr>
        <w:fldChar w:fldCharType="separate"/>
      </w:r>
      <w:r>
        <w:rPr>
          <w:rFonts w:ascii="Times New Roman" w:hAnsi="Times New Roman" w:cs="Times New Roman"/>
          <w:sz w:val="24"/>
          <w:szCs w:val="24"/>
        </w:rPr>
        <w:t>65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2"/>
        <w:spacing w:line="480" w:lineRule="auto"/>
        <w:ind w:left="720" w:right="720"/>
        <w:jc w:val="center"/>
        <w:rPr>
          <w:rFonts w:ascii="Times New Roman" w:hAnsi="Times New Roman" w:cs="Times New Roman"/>
          <w:b/>
          <w:bCs/>
          <w:sz w:val="24"/>
          <w:szCs w:val="24"/>
        </w:rPr>
      </w:pPr>
      <w:r>
        <w:rPr>
          <w:rFonts w:ascii="Times New Roman" w:hAnsi="Times New Roman" w:cs="Times New Roman"/>
          <w:sz w:val="24"/>
          <w:szCs w:val="24"/>
        </w:rPr>
        <w:fldChar w:fldCharType="end"/>
      </w: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3"/>
        <w:jc w:val="center"/>
        <w:rPr>
          <w:rFonts w:ascii="Times New Roman" w:hAnsi="Times New Roman" w:cs="Times New Roman"/>
          <w:b w:val="0"/>
          <w:sz w:val="24"/>
          <w:szCs w:val="24"/>
        </w:rPr>
      </w:pPr>
      <w:bookmarkStart w:id="6" w:name="_Toc134604125"/>
      <w:bookmarkStart w:id="7" w:name="_Toc142753371"/>
      <w:r>
        <w:rPr>
          <w:rFonts w:ascii="Times New Roman" w:hAnsi="Times New Roman" w:cs="Times New Roman"/>
          <w:sz w:val="24"/>
          <w:szCs w:val="24"/>
        </w:rPr>
        <w:t>List of Figures</w:t>
      </w:r>
      <w:bookmarkEnd w:id="6"/>
      <w:bookmarkEnd w:id="7"/>
    </w:p>
    <w:p>
      <w:pPr>
        <w:pStyle w:val="20"/>
        <w:tabs>
          <w:tab w:val="right" w:leader="dot" w:pos="9350"/>
        </w:tabs>
        <w:spacing w:line="360" w:lineRule="auto"/>
        <w:rPr>
          <w:rFonts w:ascii="Times New Roman" w:hAnsi="Times New Roman" w:cs="Times New Roman" w:eastAsiaTheme="minorEastAsia"/>
          <w:kern w:val="2"/>
          <w:sz w:val="24"/>
          <w:szCs w:val="24"/>
          <w14:ligatures w14:val="standardContextual"/>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"Figure" </w:instrText>
      </w:r>
      <w:r>
        <w:rPr>
          <w:rFonts w:ascii="Times New Roman" w:hAnsi="Times New Roman" w:cs="Times New Roman"/>
          <w:sz w:val="24"/>
          <w:szCs w:val="24"/>
        </w:rPr>
        <w:fldChar w:fldCharType="separate"/>
      </w:r>
      <w:r>
        <w:fldChar w:fldCharType="begin"/>
      </w:r>
      <w:r>
        <w:instrText xml:space="preserve"> HYPERLINK \l "_Toc134608454" </w:instrText>
      </w:r>
      <w:r>
        <w:fldChar w:fldCharType="separate"/>
      </w:r>
      <w:r>
        <w:rPr>
          <w:rStyle w:val="16"/>
          <w:rFonts w:ascii="Times New Roman" w:hAnsi="Times New Roman" w:cs="Times New Roman"/>
          <w:sz w:val="24"/>
          <w:szCs w:val="24"/>
        </w:rPr>
        <w:t>Figure 1</w:t>
      </w:r>
      <w:r>
        <w:rPr>
          <w:rStyle w:val="16"/>
          <w:rFonts w:ascii="Times New Roman" w:hAnsi="Times New Roman" w:cs="Times New Roman"/>
          <w:b/>
          <w:sz w:val="24"/>
          <w:szCs w:val="24"/>
        </w:rPr>
        <w:t xml:space="preserve">: </w:t>
      </w:r>
      <w:r>
        <w:rPr>
          <w:rStyle w:val="16"/>
          <w:rFonts w:ascii="Times New Roman" w:hAnsi="Times New Roman" w:cs="Times New Roman"/>
          <w:bCs/>
          <w:sz w:val="24"/>
          <w:szCs w:val="24"/>
        </w:rPr>
        <w:t>Age of respondents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_Toc134608454 \h </w:instrText>
      </w:r>
      <w:r>
        <w:rPr>
          <w:rFonts w:ascii="Times New Roman" w:hAnsi="Times New Roman" w:cs="Times New Roman"/>
          <w:sz w:val="24"/>
          <w:szCs w:val="24"/>
        </w:rPr>
        <w:fldChar w:fldCharType="separate"/>
      </w:r>
      <w:r>
        <w:rPr>
          <w:rFonts w:ascii="Times New Roman" w:hAnsi="Times New Roman" w:cs="Times New Roman"/>
          <w:sz w:val="24"/>
          <w:szCs w:val="24"/>
        </w:rPr>
        <w:t>42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9350"/>
        </w:tabs>
        <w:spacing w:line="360" w:lineRule="auto"/>
        <w:rPr>
          <w:rFonts w:ascii="Times New Roman" w:hAnsi="Times New Roman" w:cs="Times New Roman" w:eastAsiaTheme="minorEastAsia"/>
          <w:kern w:val="2"/>
          <w:sz w:val="24"/>
          <w:szCs w:val="24"/>
          <w14:ligatures w14:val="standardContextual"/>
        </w:rPr>
      </w:pPr>
      <w:r>
        <w:fldChar w:fldCharType="begin"/>
      </w:r>
      <w:r>
        <w:instrText xml:space="preserve"> HYPERLINK \l "_Toc134608455" </w:instrText>
      </w:r>
      <w:r>
        <w:fldChar w:fldCharType="separate"/>
      </w:r>
      <w:r>
        <w:rPr>
          <w:rStyle w:val="16"/>
          <w:rFonts w:ascii="Times New Roman" w:hAnsi="Times New Roman" w:cs="Times New Roman"/>
          <w:sz w:val="24"/>
          <w:szCs w:val="24"/>
        </w:rPr>
        <w:t>Figure 2: Experience in years of working on the surgical ward.</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_Toc134608455 \h </w:instrText>
      </w:r>
      <w:r>
        <w:rPr>
          <w:rFonts w:ascii="Times New Roman" w:hAnsi="Times New Roman" w:cs="Times New Roman"/>
          <w:sz w:val="24"/>
          <w:szCs w:val="24"/>
        </w:rPr>
        <w:fldChar w:fldCharType="separate"/>
      </w:r>
      <w:r>
        <w:rPr>
          <w:rFonts w:ascii="Times New Roman" w:hAnsi="Times New Roman" w:cs="Times New Roman"/>
          <w:sz w:val="24"/>
          <w:szCs w:val="24"/>
        </w:rPr>
        <w:t>43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right" w:leader="dot" w:pos="9350"/>
        </w:tabs>
        <w:spacing w:line="360" w:lineRule="auto"/>
        <w:rPr>
          <w:rFonts w:ascii="Times New Roman" w:hAnsi="Times New Roman" w:cs="Times New Roman" w:eastAsiaTheme="minorEastAsia"/>
          <w:kern w:val="2"/>
          <w:sz w:val="24"/>
          <w:szCs w:val="24"/>
          <w14:ligatures w14:val="standardContextual"/>
        </w:rPr>
      </w:pPr>
      <w:r>
        <w:fldChar w:fldCharType="begin"/>
      </w:r>
      <w:r>
        <w:instrText xml:space="preserve"> HYPERLINK \l "_Toc134608456" </w:instrText>
      </w:r>
      <w:r>
        <w:fldChar w:fldCharType="separate"/>
      </w:r>
      <w:r>
        <w:rPr>
          <w:rStyle w:val="16"/>
          <w:rFonts w:ascii="Times New Roman" w:hAnsi="Times New Roman" w:cs="Times New Roman"/>
          <w:sz w:val="24"/>
          <w:szCs w:val="24"/>
        </w:rPr>
        <w:t>Figure 3  working experience in years.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_Toc134608456 \h </w:instrText>
      </w:r>
      <w:r>
        <w:rPr>
          <w:rFonts w:ascii="Times New Roman" w:hAnsi="Times New Roman" w:cs="Times New Roman"/>
          <w:sz w:val="24"/>
          <w:szCs w:val="24"/>
        </w:rPr>
        <w:fldChar w:fldCharType="separate"/>
      </w:r>
      <w:r>
        <w:rPr>
          <w:rFonts w:ascii="Times New Roman" w:hAnsi="Times New Roman" w:cs="Times New Roman"/>
          <w:sz w:val="24"/>
          <w:szCs w:val="24"/>
        </w:rPr>
        <w:t>43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rPr>
          <w:rFonts w:ascii="Times New Roman" w:hAnsi="Times New Roman" w:cs="Times New Roman"/>
          <w:sz w:val="24"/>
          <w:szCs w:val="24"/>
        </w:rPr>
      </w:pPr>
      <w:r>
        <w:rPr>
          <w:rFonts w:ascii="Times New Roman" w:hAnsi="Times New Roman" w:cs="Times New Roman"/>
          <w:sz w:val="24"/>
          <w:szCs w:val="24"/>
        </w:rPr>
        <w:fldChar w:fldCharType="end"/>
      </w:r>
    </w:p>
    <w:p>
      <w:pPr>
        <w:rPr>
          <w:rFonts w:ascii="Times New Roman" w:hAnsi="Times New Roman" w:cs="Times New Roman"/>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3"/>
        <w:spacing w:line="480" w:lineRule="auto"/>
        <w:jc w:val="center"/>
        <w:rPr>
          <w:rFonts w:ascii="Times New Roman" w:hAnsi="Times New Roman" w:cs="Times New Roman"/>
          <w:b w:val="0"/>
          <w:sz w:val="24"/>
          <w:szCs w:val="24"/>
        </w:rPr>
      </w:pPr>
      <w:bookmarkStart w:id="8" w:name="_Toc142753372"/>
      <w:r>
        <w:rPr>
          <w:rFonts w:ascii="Times New Roman" w:hAnsi="Times New Roman" w:cs="Times New Roman"/>
          <w:sz w:val="24"/>
          <w:szCs w:val="24"/>
        </w:rPr>
        <w:t>LIST OF APPENDICES</w:t>
      </w:r>
      <w:bookmarkEnd w:id="8"/>
    </w:p>
    <w:p>
      <w:pPr>
        <w:pStyle w:val="42"/>
        <w:spacing w:line="480" w:lineRule="auto"/>
        <w:ind w:right="720"/>
        <w:rPr>
          <w:rFonts w:ascii="Times New Roman" w:hAnsi="Times New Roman" w:cs="Times New Roman"/>
          <w:sz w:val="24"/>
          <w:szCs w:val="24"/>
        </w:rPr>
      </w:pPr>
      <w:r>
        <w:rPr>
          <w:rFonts w:ascii="Times New Roman" w:hAnsi="Times New Roman" w:cs="Times New Roman"/>
          <w:sz w:val="24"/>
          <w:szCs w:val="24"/>
        </w:rPr>
        <w:t>Appendix A-Questionnaire: …………………………………………………………….85</w:t>
      </w:r>
    </w:p>
    <w:p>
      <w:pPr>
        <w:pStyle w:val="42"/>
        <w:spacing w:line="480" w:lineRule="auto"/>
        <w:ind w:right="720"/>
        <w:rPr>
          <w:rFonts w:ascii="Times New Roman" w:hAnsi="Times New Roman" w:cs="Times New Roman"/>
          <w:sz w:val="24"/>
          <w:szCs w:val="24"/>
        </w:rPr>
      </w:pPr>
      <w:r>
        <w:rPr>
          <w:rFonts w:ascii="Times New Roman" w:hAnsi="Times New Roman" w:cs="Times New Roman"/>
          <w:sz w:val="24"/>
          <w:szCs w:val="24"/>
        </w:rPr>
        <w:t>Part 1 -Demographic Data: …………………………………………………………… 85</w:t>
      </w:r>
    </w:p>
    <w:p>
      <w:pPr>
        <w:pStyle w:val="42"/>
        <w:spacing w:line="480" w:lineRule="auto"/>
        <w:ind w:right="720"/>
        <w:rPr>
          <w:rFonts w:ascii="Times New Roman" w:hAnsi="Times New Roman" w:cs="Times New Roman"/>
          <w:sz w:val="24"/>
          <w:szCs w:val="24"/>
        </w:rPr>
      </w:pPr>
      <w:r>
        <w:rPr>
          <w:rFonts w:ascii="Times New Roman" w:hAnsi="Times New Roman" w:cs="Times New Roman"/>
          <w:sz w:val="24"/>
          <w:szCs w:val="24"/>
        </w:rPr>
        <w:t>Part 11- Nurses Knowledge on Post-operative Pain Management: ........ ……………..86</w:t>
      </w:r>
    </w:p>
    <w:p>
      <w:pPr>
        <w:pStyle w:val="42"/>
        <w:spacing w:line="480" w:lineRule="auto"/>
        <w:ind w:right="90"/>
        <w:rPr>
          <w:rFonts w:ascii="Times New Roman" w:hAnsi="Times New Roman" w:cs="Times New Roman"/>
          <w:sz w:val="24"/>
          <w:szCs w:val="24"/>
        </w:rPr>
      </w:pPr>
      <w:r>
        <w:rPr>
          <w:rFonts w:ascii="Times New Roman" w:hAnsi="Times New Roman" w:cs="Times New Roman"/>
          <w:sz w:val="24"/>
          <w:szCs w:val="24"/>
        </w:rPr>
        <w:t>Part 111 – Nurses Attitude towards Post Operative Pain Management:……………..87</w:t>
      </w:r>
    </w:p>
    <w:p>
      <w:pPr>
        <w:pStyle w:val="42"/>
        <w:spacing w:line="480" w:lineRule="auto"/>
        <w:ind w:right="720"/>
        <w:rPr>
          <w:rFonts w:ascii="Times New Roman" w:hAnsi="Times New Roman" w:cs="Times New Roman"/>
          <w:sz w:val="24"/>
          <w:szCs w:val="24"/>
        </w:rPr>
      </w:pPr>
      <w:r>
        <w:rPr>
          <w:rFonts w:ascii="Times New Roman" w:hAnsi="Times New Roman" w:cs="Times New Roman"/>
          <w:sz w:val="24"/>
          <w:szCs w:val="24"/>
        </w:rPr>
        <w:t>Appendix B- Practice Checklist: ………………………………………………………89</w:t>
      </w:r>
    </w:p>
    <w:p>
      <w:pPr>
        <w:pStyle w:val="42"/>
        <w:spacing w:line="480" w:lineRule="auto"/>
        <w:ind w:right="720"/>
        <w:rPr>
          <w:rFonts w:ascii="Times New Roman" w:hAnsi="Times New Roman" w:cs="Times New Roman"/>
          <w:sz w:val="24"/>
          <w:szCs w:val="24"/>
        </w:rPr>
      </w:pPr>
      <w:r>
        <w:rPr>
          <w:rFonts w:ascii="Times New Roman" w:hAnsi="Times New Roman" w:cs="Times New Roman"/>
          <w:sz w:val="24"/>
          <w:szCs w:val="24"/>
        </w:rPr>
        <w:t>Appendix C-Attitude and Knowledge Totals …………………………………………90</w:t>
      </w:r>
    </w:p>
    <w:p>
      <w:pPr>
        <w:pStyle w:val="42"/>
        <w:spacing w:line="480" w:lineRule="auto"/>
        <w:ind w:right="720"/>
        <w:rPr>
          <w:rFonts w:ascii="Times New Roman" w:hAnsi="Times New Roman" w:cs="Times New Roman"/>
          <w:sz w:val="24"/>
          <w:szCs w:val="24"/>
        </w:rPr>
      </w:pPr>
      <w:r>
        <w:rPr>
          <w:rFonts w:ascii="Times New Roman" w:hAnsi="Times New Roman" w:cs="Times New Roman"/>
          <w:sz w:val="24"/>
          <w:szCs w:val="24"/>
        </w:rPr>
        <w:t xml:space="preserve">Appendix D- Approval letter </w:t>
      </w:r>
    </w:p>
    <w:p>
      <w:pPr>
        <w:pStyle w:val="42"/>
        <w:spacing w:line="480" w:lineRule="auto"/>
        <w:ind w:left="720" w:right="720"/>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3"/>
        <w:jc w:val="center"/>
        <w:rPr>
          <w:rFonts w:ascii="Times New Roman" w:hAnsi="Times New Roman" w:cs="Times New Roman"/>
          <w:b w:val="0"/>
          <w:sz w:val="24"/>
          <w:szCs w:val="24"/>
        </w:rPr>
      </w:pPr>
      <w:bookmarkStart w:id="9" w:name="_Toc142753373"/>
      <w:r>
        <w:rPr>
          <w:rFonts w:ascii="Times New Roman" w:hAnsi="Times New Roman" w:cs="Times New Roman"/>
          <w:sz w:val="24"/>
          <w:szCs w:val="24"/>
        </w:rPr>
        <w:t>Abstract</w:t>
      </w:r>
      <w:bookmarkEnd w:id="9"/>
    </w:p>
    <w:p>
      <w:pPr>
        <w:spacing w:after="0" w:line="240" w:lineRule="auto"/>
        <w:jc w:val="both"/>
        <w:rPr>
          <w:rFonts w:ascii="Times New Roman" w:hAnsi="Times New Roman" w:cs="Times New Roman"/>
          <w:b/>
          <w:iCs/>
          <w:sz w:val="24"/>
          <w:szCs w:val="24"/>
          <w:shd w:val="clear" w:color="auto" w:fill="FFFFFF"/>
        </w:rPr>
      </w:pPr>
      <w:r>
        <w:rPr>
          <w:rFonts w:ascii="Times New Roman" w:hAnsi="Times New Roman" w:cs="Times New Roman"/>
          <w:b/>
          <w:iCs/>
          <w:sz w:val="24"/>
          <w:szCs w:val="24"/>
          <w:shd w:val="clear" w:color="auto" w:fill="FFFFFF"/>
        </w:rPr>
        <w:t xml:space="preserve">Background  </w:t>
      </w:r>
    </w:p>
    <w:p>
      <w:pPr>
        <w:spacing w:after="0" w:line="240" w:lineRule="auto"/>
        <w:ind w:firstLine="720"/>
        <w:jc w:val="both"/>
        <w:rPr>
          <w:rFonts w:ascii="Times New Roman" w:hAnsi="Times New Roman" w:cs="Times New Roman"/>
          <w:bCs/>
          <w:sz w:val="24"/>
          <w:szCs w:val="24"/>
        </w:rPr>
      </w:pPr>
      <w:r>
        <w:rPr>
          <w:rFonts w:ascii="Times New Roman" w:hAnsi="Times New Roman" w:cs="Times New Roman"/>
          <w:bCs/>
          <w:iCs/>
          <w:sz w:val="24"/>
          <w:szCs w:val="24"/>
          <w:shd w:val="clear" w:color="auto" w:fill="FFFFFF"/>
        </w:rPr>
        <w:t>Post operative pain remains one of the greatest concerns for patients following surgery.</w:t>
      </w:r>
      <w:r>
        <w:rPr>
          <w:rFonts w:ascii="Times New Roman" w:hAnsi="Times New Roman" w:cs="Times New Roman"/>
          <w:bCs/>
          <w:i/>
          <w:sz w:val="24"/>
          <w:szCs w:val="24"/>
          <w:shd w:val="clear" w:color="auto" w:fill="FFFFFF"/>
        </w:rPr>
        <w:t xml:space="preserve"> </w:t>
      </w:r>
      <w:r>
        <w:rPr>
          <w:rFonts w:ascii="Times New Roman" w:hAnsi="Times New Roman" w:cs="Times New Roman"/>
          <w:bCs/>
          <w:sz w:val="24"/>
          <w:szCs w:val="24"/>
          <w:shd w:val="clear" w:color="auto" w:fill="FFFFFF"/>
        </w:rPr>
        <w:t xml:space="preserve">Pain is an unpleasant sensory and emotional experience accompanied by actual and potential tissue damage. </w:t>
      </w:r>
      <w:r>
        <w:rPr>
          <w:rFonts w:ascii="Times New Roman" w:hAnsi="Times New Roman" w:cs="Times New Roman"/>
          <w:bCs/>
          <w:sz w:val="24"/>
          <w:szCs w:val="24"/>
        </w:rPr>
        <w:t>Failure to promptly assess and manage pain may upshot into postoperative complications like hypertension, depression,</w:t>
      </w:r>
      <w:r>
        <w:rPr>
          <w:rFonts w:ascii="Times New Roman" w:hAnsi="Times New Roman" w:cs="Times New Roman"/>
          <w:bCs/>
          <w:i/>
          <w:iCs/>
          <w:sz w:val="24"/>
          <w:szCs w:val="24"/>
        </w:rPr>
        <w:t xml:space="preserve"> </w:t>
      </w:r>
      <w:r>
        <w:rPr>
          <w:rFonts w:ascii="Times New Roman" w:hAnsi="Times New Roman" w:cs="Times New Roman"/>
          <w:bCs/>
          <w:sz w:val="24"/>
          <w:szCs w:val="24"/>
        </w:rPr>
        <w:t>lengthened hospital stays, and overall patients’ poor health outcomes.</w:t>
      </w: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r>
        <w:rPr>
          <w:rFonts w:ascii="Times New Roman" w:hAnsi="Times New Roman" w:cs="Times New Roman"/>
          <w:b/>
          <w:iCs/>
          <w:sz w:val="24"/>
          <w:szCs w:val="24"/>
        </w:rPr>
        <w:t>Objective</w:t>
      </w:r>
      <w:r>
        <w:rPr>
          <w:rFonts w:ascii="Times New Roman" w:hAnsi="Times New Roman" w:cs="Times New Roman"/>
          <w:sz w:val="24"/>
          <w:szCs w:val="24"/>
        </w:rPr>
        <w:t xml:space="preserve"> </w:t>
      </w:r>
    </w:p>
    <w:p>
      <w:pPr>
        <w:spacing w:after="0" w:line="240" w:lineRule="auto"/>
        <w:ind w:firstLine="720"/>
        <w:jc w:val="both"/>
        <w:rPr>
          <w:rFonts w:ascii="Times New Roman" w:hAnsi="Times New Roman" w:cs="Times New Roman"/>
          <w:bCs/>
          <w:sz w:val="24"/>
          <w:szCs w:val="24"/>
          <w:shd w:val="clear" w:color="auto" w:fill="FFFFFF"/>
        </w:rPr>
      </w:pPr>
      <w:r>
        <w:rPr>
          <w:rFonts w:ascii="Times New Roman" w:hAnsi="Times New Roman" w:cs="Times New Roman"/>
          <w:sz w:val="24"/>
          <w:szCs w:val="24"/>
        </w:rPr>
        <w:t xml:space="preserve">The purpose of this study was to </w:t>
      </w:r>
      <w:r>
        <w:rPr>
          <w:rFonts w:ascii="Times New Roman" w:hAnsi="Times New Roman" w:cs="Times New Roman"/>
          <w:bCs/>
          <w:sz w:val="24"/>
          <w:szCs w:val="24"/>
          <w:shd w:val="clear" w:color="auto" w:fill="FFFFFF"/>
        </w:rPr>
        <w:t xml:space="preserve">describe the effect of integrating the pain assessment scale on the nurse’s knowledge, attitude, and practice toward post-operative pain management in the surgical ward </w:t>
      </w:r>
      <w:r>
        <w:rPr>
          <w:rFonts w:ascii="Times New Roman" w:hAnsi="Times New Roman" w:cs="Times New Roman"/>
          <w:bCs/>
          <w:sz w:val="24"/>
          <w:szCs w:val="24"/>
        </w:rPr>
        <w:t>in Mengo hospital, Kampala.</w:t>
      </w:r>
    </w:p>
    <w:p>
      <w:pPr>
        <w:spacing w:after="0" w:line="240" w:lineRule="auto"/>
        <w:jc w:val="both"/>
        <w:rPr>
          <w:rFonts w:ascii="Times New Roman" w:hAnsi="Times New Roman" w:cs="Times New Roman"/>
          <w:bCs/>
          <w:sz w:val="24"/>
          <w:szCs w:val="24"/>
          <w:shd w:val="clear" w:color="auto" w:fill="FFFFFF"/>
        </w:rPr>
      </w:pPr>
    </w:p>
    <w:p>
      <w:pPr>
        <w:autoSpaceDE w:val="0"/>
        <w:autoSpaceDN w:val="0"/>
        <w:adjustRightInd w:val="0"/>
        <w:spacing w:after="0" w:line="240" w:lineRule="auto"/>
        <w:jc w:val="both"/>
        <w:rPr>
          <w:rFonts w:ascii="Times New Roman" w:hAnsi="Times New Roman" w:cs="Times New Roman"/>
          <w:b/>
          <w:bCs/>
          <w:iCs/>
          <w:sz w:val="24"/>
          <w:szCs w:val="24"/>
          <w:shd w:val="clear" w:color="auto" w:fill="FFFFFF"/>
        </w:rPr>
      </w:pPr>
      <w:r>
        <w:rPr>
          <w:rFonts w:ascii="Times New Roman" w:hAnsi="Times New Roman" w:cs="Times New Roman"/>
          <w:b/>
          <w:bCs/>
          <w:iCs/>
          <w:sz w:val="24"/>
          <w:szCs w:val="24"/>
          <w:shd w:val="clear" w:color="auto" w:fill="FFFFFF"/>
        </w:rPr>
        <w:t>Methods</w:t>
      </w:r>
    </w:p>
    <w:p>
      <w:pPr>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p>
    <w:p>
      <w:pPr>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At the surgical wards (obstetrics/gynecology &amp; other general surgical procedures), nurses participated in a descriptive quantitative cross-sectional, quasi-experimental study.</w:t>
      </w:r>
    </w:p>
    <w:p>
      <w:pPr>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cs="Times New Roman"/>
          <w:iCs/>
          <w:sz w:val="24"/>
          <w:szCs w:val="24"/>
        </w:rPr>
        <w:t xml:space="preserve">A total of 60 nurses participated in the study by applying the educational intervention of integrating the PAS into postoperative pain management </w:t>
      </w:r>
      <w:r>
        <w:rPr>
          <w:rFonts w:ascii="Times New Roman" w:hAnsi="Times New Roman" w:cs="Times New Roman"/>
          <w:sz w:val="24"/>
          <w:szCs w:val="24"/>
        </w:rPr>
        <w:t xml:space="preserve">using a 4-point Likert scale. The practice was observed using a checklist. </w:t>
      </w:r>
      <w:r>
        <w:rPr>
          <w:rFonts w:ascii="Times New Roman" w:hAnsi="Times New Roman" w:eastAsia="Times New Roman" w:cs="Times New Roman"/>
          <w:sz w:val="24"/>
          <w:szCs w:val="24"/>
        </w:rPr>
        <w:t>Data were analyzed using SPSS version 20. A chi-square test was done, and significantly associated factors were acknowledged.</w:t>
      </w:r>
    </w:p>
    <w:p>
      <w:pPr>
        <w:autoSpaceDE w:val="0"/>
        <w:autoSpaceDN w:val="0"/>
        <w:adjustRightInd w:val="0"/>
        <w:spacing w:after="0" w:line="240" w:lineRule="auto"/>
        <w:jc w:val="both"/>
        <w:rPr>
          <w:rFonts w:ascii="Times New Roman" w:hAnsi="Times New Roman" w:eastAsia="Times New Roman" w:cs="Times New Roman"/>
          <w:sz w:val="24"/>
          <w:szCs w:val="24"/>
        </w:rPr>
      </w:pPr>
    </w:p>
    <w:p>
      <w:pPr>
        <w:spacing w:after="0" w:line="240" w:lineRule="auto"/>
        <w:jc w:val="both"/>
        <w:rPr>
          <w:rFonts w:ascii="Times New Roman" w:hAnsi="Times New Roman" w:cs="Times New Roman"/>
          <w:b/>
          <w:bCs/>
          <w:iCs/>
          <w:sz w:val="24"/>
          <w:szCs w:val="24"/>
          <w:shd w:val="clear" w:color="auto" w:fill="FFFFFF"/>
        </w:rPr>
      </w:pPr>
      <w:r>
        <w:rPr>
          <w:rFonts w:ascii="Times New Roman" w:hAnsi="Times New Roman" w:cs="Times New Roman"/>
          <w:b/>
          <w:bCs/>
          <w:iCs/>
          <w:sz w:val="24"/>
          <w:szCs w:val="24"/>
          <w:shd w:val="clear" w:color="auto" w:fill="FFFFFF"/>
        </w:rPr>
        <w:t>Results</w:t>
      </w:r>
    </w:p>
    <w:p>
      <w:pPr>
        <w:spacing w:after="0" w:line="240" w:lineRule="auto"/>
        <w:rPr>
          <w:rFonts w:ascii="Times New Roman" w:hAnsi="Times New Roman" w:eastAsia="Times New Roman" w:cs="Times New Roman"/>
          <w:sz w:val="24"/>
          <w:szCs w:val="24"/>
          <w:shd w:val="clear" w:color="auto" w:fill="FFFFFF"/>
        </w:rPr>
      </w:pPr>
      <w:r>
        <w:rPr>
          <w:rFonts w:ascii="Times New Roman" w:hAnsi="Times New Roman" w:eastAsia="Times New Roman" w:cs="Times New Roman"/>
          <w:sz w:val="24"/>
          <w:szCs w:val="24"/>
          <w:shd w:val="clear" w:color="auto" w:fill="FFFFFF"/>
        </w:rPr>
        <w:t>In the pretest and posttest, the mean total knowledge scores about post-operative pain treatment were (M= 62.83, SD= 9.583), t = -59, P=0.01, respectively. The results raise concerns about the respondents' intolerable lack of understanding regarding how to manage patients' post-operative pain.</w:t>
      </w:r>
    </w:p>
    <w:p>
      <w:pPr>
        <w:spacing w:after="0" w:line="240" w:lineRule="auto"/>
        <w:jc w:val="both"/>
        <w:rPr>
          <w:rFonts w:ascii="Times New Roman" w:hAnsi="Times New Roman" w:cs="Times New Roman"/>
          <w:bCs/>
          <w:sz w:val="24"/>
          <w:szCs w:val="24"/>
          <w:shd w:val="clear" w:color="auto" w:fill="FFFFFF"/>
        </w:rPr>
      </w:pPr>
    </w:p>
    <w:p>
      <w:pPr>
        <w:spacing w:after="0" w:line="240" w:lineRule="auto"/>
        <w:jc w:val="both"/>
        <w:rPr>
          <w:rFonts w:ascii="Times New Roman" w:hAnsi="Times New Roman" w:cs="Times New Roman"/>
          <w:b/>
          <w:bCs/>
          <w:iCs/>
          <w:sz w:val="24"/>
          <w:szCs w:val="24"/>
          <w:shd w:val="clear" w:color="auto" w:fill="FFFFFF"/>
        </w:rPr>
      </w:pPr>
      <w:r>
        <w:rPr>
          <w:rFonts w:ascii="Times New Roman" w:hAnsi="Times New Roman" w:cs="Times New Roman"/>
          <w:b/>
          <w:bCs/>
          <w:iCs/>
          <w:sz w:val="24"/>
          <w:szCs w:val="24"/>
          <w:shd w:val="clear" w:color="auto" w:fill="FFFFFF"/>
        </w:rPr>
        <w:t>Conclusion</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Nurses’ low level of knowledge, unacceptable attitude, and practice were acknowledged. Nursing curricula both at Under-Graduate and master’s should be undertaken to ensure relevant, appropriate information equips nurses to effectively manage pain. </w:t>
      </w: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sectPr>
          <w:headerReference r:id="rId7" w:type="first"/>
          <w:footerReference r:id="rId10" w:type="first"/>
          <w:headerReference r:id="rId5" w:type="default"/>
          <w:footerReference r:id="rId8" w:type="default"/>
          <w:headerReference r:id="rId6" w:type="even"/>
          <w:footerReference r:id="rId9" w:type="even"/>
          <w:pgSz w:w="12240" w:h="15840"/>
          <w:pgMar w:top="1440" w:right="1440" w:bottom="1440" w:left="1440" w:header="720" w:footer="720" w:gutter="0"/>
          <w:pgNumType w:fmt="lowerRoman" w:start="1"/>
          <w:cols w:space="720" w:num="1"/>
          <w:titlePg/>
          <w:docGrid w:linePitch="360" w:charSpace="0"/>
        </w:sect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right="720"/>
        <w:rPr>
          <w:rFonts w:ascii="Times New Roman" w:hAnsi="Times New Roman" w:cs="Times New Roman"/>
          <w:b/>
          <w:bCs/>
          <w:sz w:val="24"/>
          <w:szCs w:val="24"/>
        </w:rPr>
      </w:pPr>
    </w:p>
    <w:p>
      <w:pPr>
        <w:pStyle w:val="42"/>
        <w:spacing w:line="480" w:lineRule="auto"/>
        <w:ind w:left="720" w:right="720"/>
        <w:rPr>
          <w:rFonts w:ascii="Times New Roman" w:hAnsi="Times New Roman" w:cs="Times New Roman"/>
          <w:b/>
          <w:bCs/>
          <w:sz w:val="24"/>
          <w:szCs w:val="24"/>
        </w:rPr>
        <w:sectPr>
          <w:type w:val="continuous"/>
          <w:pgSz w:w="12240" w:h="15840"/>
          <w:pgMar w:top="1440" w:right="1440" w:bottom="1440" w:left="1440" w:header="720" w:footer="720" w:gutter="0"/>
          <w:pgNumType w:start="1"/>
          <w:cols w:space="720" w:num="1"/>
          <w:titlePg/>
          <w:docGrid w:linePitch="360" w:charSpace="0"/>
        </w:sectPr>
      </w:pPr>
    </w:p>
    <w:p>
      <w:pPr>
        <w:pStyle w:val="3"/>
        <w:jc w:val="center"/>
        <w:rPr>
          <w:rFonts w:ascii="Times New Roman" w:hAnsi="Times New Roman" w:cs="Times New Roman"/>
          <w:sz w:val="24"/>
          <w:szCs w:val="24"/>
        </w:rPr>
      </w:pPr>
      <w:bookmarkStart w:id="10" w:name="_Toc142753374"/>
      <w:r>
        <w:rPr>
          <w:rFonts w:ascii="Times New Roman" w:hAnsi="Times New Roman" w:cs="Times New Roman"/>
          <w:sz w:val="24"/>
          <w:szCs w:val="24"/>
        </w:rPr>
        <w:t>Chapter One:</w:t>
      </w:r>
      <w:bookmarkEnd w:id="10"/>
    </w:p>
    <w:p>
      <w:pPr>
        <w:pStyle w:val="3"/>
        <w:rPr>
          <w:rFonts w:ascii="Times New Roman" w:hAnsi="Times New Roman" w:cs="Times New Roman"/>
          <w:b w:val="0"/>
          <w:sz w:val="24"/>
          <w:szCs w:val="24"/>
        </w:rPr>
      </w:pPr>
      <w:bookmarkStart w:id="11" w:name="_Toc142753375"/>
      <w:r>
        <w:rPr>
          <w:rFonts w:ascii="Times New Roman" w:hAnsi="Times New Roman" w:cs="Times New Roman"/>
          <w:sz w:val="24"/>
          <w:szCs w:val="24"/>
        </w:rPr>
        <w:t>Introduction</w:t>
      </w:r>
      <w:bookmarkEnd w:id="11"/>
    </w:p>
    <w:bookmarkEnd w:id="1"/>
    <w:p>
      <w:pPr>
        <w:autoSpaceDE w:val="0"/>
        <w:autoSpaceDN w:val="0"/>
        <w:adjustRightInd w:val="0"/>
        <w:spacing w:before="100" w:beforeAutospacing="1" w:after="100" w:afterAutospacing="1" w:line="480" w:lineRule="auto"/>
        <w:ind w:firstLine="630"/>
        <w:jc w:val="both"/>
        <w:rPr>
          <w:rFonts w:ascii="Times New Roman" w:hAnsi="Times New Roman" w:cs="Times New Roman"/>
          <w:bCs/>
          <w:color w:val="FF0000"/>
          <w:sz w:val="24"/>
          <w:szCs w:val="24"/>
          <w:shd w:val="clear" w:color="auto" w:fill="FFFFFF"/>
        </w:rPr>
      </w:pPr>
      <w:r>
        <w:rPr>
          <w:rFonts w:ascii="Times New Roman" w:hAnsi="Times New Roman" w:cs="Times New Roman"/>
          <w:sz w:val="24"/>
          <w:szCs w:val="24"/>
          <w:shd w:val="clear" w:color="auto" w:fill="FFFFFF"/>
        </w:rPr>
        <w:t>Pain is a negative sensory and emotional experience that is linked to tissue damage, either present or potential, or is portrayed as such harm (American pain society, 2008).</w:t>
      </w:r>
      <w:r>
        <w:rPr>
          <w:rFonts w:ascii="Times New Roman" w:hAnsi="Times New Roman" w:cs="Times New Roman"/>
          <w:bCs/>
          <w:sz w:val="24"/>
          <w:szCs w:val="24"/>
          <w:shd w:val="clear" w:color="auto" w:fill="FFFFFF"/>
        </w:rPr>
        <w:t xml:space="preserve"> </w:t>
      </w:r>
      <w:r>
        <w:rPr>
          <w:rFonts w:ascii="Times New Roman" w:hAnsi="Times New Roman" w:cs="Times New Roman"/>
          <w:sz w:val="24"/>
          <w:szCs w:val="24"/>
        </w:rPr>
        <w:t>Inadequate pain management after surgery can lead to postoperative problems like depression, deep vein thrombosis, deep vein hypertension, and chronic pain, lengthening hospital stays and readmission rates, and negatively affecting patients' overall health outcomes</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 xml:space="preserve">ADDIN CSL_CITATION {"citationItems":[{"id":"ITEM-1","itemData":{"DOI":"10.1185/03007995.2015.1092122","ISSN":"14734877","PMID":"26359332","abstract":"Poor management of post-operative acute pain can contribute to medical complications including pneumonia, deep vein thrombosis, infection and delayed healing, as well as the development of chronic pain. It is therefore important that all patients undergoing surgery should receive adequate pain management. However, evidence suggests this is not currently the case; between 10% and 50% of patients develop chronic pain after various common operations, and one recent US study recorded &gt;80% of patients experiencing post-operative pain.At the first meeting of the acute chapter of the Change Pain Advisory Board, key priorities for improving post-operative pain management were identified in four different areas. Firstly, patients should be more involved in decisions regarding their own treatment, particularly when fateful alternatives are being considered. For this to be meaningful, relevant information should be provided so they are well informed about the various options available. Good physician/patient communication is also essential. Secondly, better professional education and training of the various members of the multidisciplinary pain management team would enhance their skills and knowledge, and thereby improve patient care. Thirdly, there is scope for optimizing treatment. Examples include the use of synergistic analgesia to target pain at different points along pain pathways, more widespread adoption of patient-controlled analgesia, and the use of minimally invasive rather than open surgery. Fourthly, organizational change could provide similar benefits; introducing acute pain services and increasing their availability towards the 24 hours/day ideal, greater adherence to protocols, increased use of patient-reported outcomes, and greater receptivity to technological advances would all help to enhance performance and increase patient satisfaction. It must be acknowledged that implementing these recommendations would incur a considerable cost that purchasers of healthcare may be unwilling or unable to finance. Nevertheless, change is under way and the political will exists for it to continue.","author":[{"dropping-particle":"","family":"Meissner","given":"Winfried","non-dropping-particle":"","parse-names":false,"suffix":""},{"dropping-particle":"","family":"Coluzzi","given":"Flaminia","non-dropping-particle":"","parse-names":false,"suffix":""},{"dropping-particle":"","family":"Fletcher","given":"Dominique","non-dropping-particle":"","parse-names":false,"suffix":""},{"dropping-particle":"","family":"Huygen","given":"Frank","non-dropping-particle":"","parse-names":false,"suffix":""},{"dropping-particle":"","family":"Morlion","given":"Bart","non-dropping-particle":"","parse-names":false,"suffix":""},{"dropping-particle":"","family":"Neugebauer","given":"Edmund","non-dropping-particle":"","parse-names":false,"suffix":""},{"dropping-particle":"","family":"Pérez","given":"Antonio Montes","non-dropping-particle":"","parse-names":false,"suffix":""},{"dropping-particle":"","family":"Pergolizzi","given":"Joseph","non-dropping-particle":"","parse-names":false,"suffix":""}],"container-title":"Current Medical Research and Opinion","id":"ITEM-1","issue":"11","issued":{"date-parts":[["2015"]]},"page":"2131-2143","title":"Improving the management of post-operative acute pain: Priorities for change","type":"article-journal","volume":"31"},"uris":["http://www.mendeley.com/documents/?uuid=28cd6f52-80ad-4195-8eec-92e03fd3e012"]}],"mendeley":{"formattedCitation":"(Meissner et al., 2015)","plainTextFormattedCitation":"(Meissner et al., 2015)","previouslyFormattedCitation":"(Meissner et al., 2015)"},"properties":{"noteIndex":0},"schema":"https://github.com/citation-style-language/schema/raw/master/csl-citation.json"}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sz w:val="24"/>
          <w:szCs w:val="24"/>
        </w:rPr>
        <w:t>(Meissner et al., 2015)</w:t>
      </w:r>
      <w:r>
        <w:rPr>
          <w:rFonts w:ascii="Times New Roman" w:hAnsi="Times New Roman" w:cs="Times New Roman"/>
          <w:bCs/>
          <w:sz w:val="24"/>
          <w:szCs w:val="24"/>
        </w:rPr>
        <w:fldChar w:fldCharType="end"/>
      </w:r>
      <w:r>
        <w:rPr>
          <w:rFonts w:ascii="Times New Roman" w:hAnsi="Times New Roman" w:cs="Times New Roman"/>
          <w:bCs/>
          <w:sz w:val="24"/>
          <w:szCs w:val="24"/>
        </w:rPr>
        <w:t>.</w:t>
      </w:r>
      <w:r>
        <w:rPr>
          <w:rFonts w:ascii="Times New Roman" w:hAnsi="Times New Roman" w:cs="Times New Roman"/>
          <w:sz w:val="24"/>
          <w:szCs w:val="24"/>
        </w:rPr>
        <w:t xml:space="preserve"> </w:t>
      </w:r>
      <w:r>
        <w:rPr>
          <w:rFonts w:ascii="Times New Roman" w:hAnsi="Times New Roman" w:cs="Times New Roman"/>
          <w:bCs/>
          <w:sz w:val="24"/>
          <w:szCs w:val="24"/>
          <w:shd w:val="clear" w:color="auto" w:fill="FFFFFF"/>
        </w:rPr>
        <w:t>Pain intensity levels are assessed using both pharmacological and non-pharmacological methods, such as visual analog and numerical rating scales, and serve as a guide for effective pain treatment</w:t>
      </w:r>
      <w:r>
        <w:rPr>
          <w:rFonts w:ascii="Times New Roman" w:hAnsi="Times New Roman" w:cs="Times New Roman"/>
          <w:bCs/>
          <w:sz w:val="24"/>
          <w:szCs w:val="24"/>
          <w:shd w:val="clear" w:color="auto" w:fill="FFFFFF"/>
        </w:rPr>
        <w:fldChar w:fldCharType="begin" w:fldLock="1"/>
      </w:r>
      <w:r>
        <w:rPr>
          <w:rFonts w:ascii="Times New Roman" w:hAnsi="Times New Roman" w:cs="Times New Roman"/>
          <w:bCs/>
          <w:sz w:val="24"/>
          <w:szCs w:val="24"/>
          <w:shd w:val="clear" w:color="auto" w:fill="FFFFFF"/>
        </w:rPr>
        <w:instrText xml:space="preserve">ADDIN CSL_CITATION {"citationItems":[{"id":"ITEM-1","itemData":{"DOI":"10.1093/bja/aew466","ISSN":"14716771","PMID":"28186223","abstract":"Background. The 100mmvisual analog scale (VAS) score is widely used to measure pain intensity after surgery. Despite this widespread use, it is unclear what constitutes the minimal clinically important difference (MCID); that is, what minimal change in score would indicate a meaningful change in a patient's pain status. Methods. We enrolled a sequential, unselected cohort of patients recovering from surgery and used a VAS to quantify pain intensity. We compared changes in the VAS with a global rating-of-change questionnaire using an anchor-based method and three distribution-based methods (0.3 SD, standard error of the measurement, and 5% range). We then averaged the change estimates to determine the MCID for the pain VAS. The patient acceptable symptom state (PASS) was defined as the 25th centile of the VAS corresponding to a positive patient response to having made a good recovery from surgery. Results. We enrolled 224 patients at the first postoperative visit, and 219 of these were available for a second interview. The VAS scores improved significantly between the first two interviews. Triangulation of distribution and anchor-based methods resulted in an MCID of 9.9 for the pain VAS, and a PASS of 33. Conclusions. Analgesic interventions that provide a change of 10 for the 100mmpain VAS signify a clinically important improvement or deterioration, and a VAS of 33 or less signifies acceptable pain control (i.e. a responder), after surgery.","author":[{"dropping-particle":"","family":"Myles","given":"P. S.","non-dropping-particle":"","parse-names":false,"suffix":""},{"dropping-particle":"","family":"Myles","given":"D. B.","non-dropping-particle":"","parse-names":false,"suffix":""},{"dropping-particle":"","family":"Galagher","given":"W.","non-dropping-particle":"","parse-names":false,"suffix":""},{"dropping-particle":"","family":"Boyd","given":"D.","non-dropping-particle":"","parse-names":false,"suffix":""},{"dropping-particle":"","family":"Chew","given":"C.","non-dropping-particle":"","parse-names":false,"suffix":""},{"dropping-particle":"","family":"MacDonald","given":"N.","non-dropping-particle":"","parse-names":false,"suffix":""},{"dropping-particle":"","family":"Dennis","given":"A.","non-dropping-particle":"","parse-names":false,"suffix":""}],"container-title":"British Journal of Anaesthesia","id":"ITEM-1","issue":"3","issued":{"date-parts":[["2017"]]},"page":"424-429","publisher":"The Author(s)","title":"Measuring acute postoperative pain using the visual analog scale: The minimal clinically important difference and patient acceptable symptom state","type":"article-journal","volume":"118"},"uris":["http://www.mendeley.com/documents/?uuid=e9868862-f2c8-49aa-908e-50102e707a34"]}],"mendeley":{"formattedCitation":"(Myles et al., 2017)","plainTextFormattedCitation":"(Myles et al., 2017)","previouslyFormattedCitation":"(Myles et al., 2017)"},"properties":{"noteIndex":0},"schema":"https://github.com/citation-style-language/schema/raw/master/csl-citation.json"}</w:instrText>
      </w:r>
      <w:r>
        <w:rPr>
          <w:rFonts w:ascii="Times New Roman" w:hAnsi="Times New Roman" w:cs="Times New Roman"/>
          <w:bCs/>
          <w:sz w:val="24"/>
          <w:szCs w:val="24"/>
          <w:shd w:val="clear" w:color="auto" w:fill="FFFFFF"/>
        </w:rPr>
        <w:fldChar w:fldCharType="separate"/>
      </w:r>
      <w:r>
        <w:rPr>
          <w:rFonts w:ascii="Times New Roman" w:hAnsi="Times New Roman" w:cs="Times New Roman"/>
          <w:bCs/>
          <w:sz w:val="24"/>
          <w:szCs w:val="24"/>
          <w:shd w:val="clear" w:color="auto" w:fill="FFFFFF"/>
        </w:rPr>
        <w:t>(Myles et al., 2017)</w:t>
      </w:r>
      <w:r>
        <w:rPr>
          <w:rFonts w:ascii="Times New Roman" w:hAnsi="Times New Roman" w:cs="Times New Roman"/>
          <w:bCs/>
          <w:sz w:val="24"/>
          <w:szCs w:val="24"/>
          <w:shd w:val="clear" w:color="auto" w:fill="FFFFFF"/>
        </w:rPr>
        <w:fldChar w:fldCharType="end"/>
      </w:r>
      <w:r>
        <w:rPr>
          <w:rFonts w:ascii="Times New Roman" w:hAnsi="Times New Roman" w:cs="Times New Roman"/>
          <w:bCs/>
          <w:sz w:val="24"/>
          <w:szCs w:val="24"/>
          <w:shd w:val="clear" w:color="auto" w:fill="FFFFFF"/>
        </w:rPr>
        <w:t>.</w:t>
      </w:r>
      <w:bookmarkStart w:id="12" w:name="_Hlk97226324"/>
    </w:p>
    <w:p>
      <w:pPr>
        <w:autoSpaceDE w:val="0"/>
        <w:autoSpaceDN w:val="0"/>
        <w:adjustRightInd w:val="0"/>
        <w:spacing w:before="100" w:beforeAutospacing="1" w:after="100" w:afterAutospacing="1" w:line="480" w:lineRule="auto"/>
        <w:ind w:firstLine="630"/>
        <w:jc w:val="both"/>
        <w:rPr>
          <w:rFonts w:ascii="Times New Roman" w:hAnsi="Times New Roman" w:cs="Times New Roman"/>
          <w:bCs/>
          <w:color w:val="FF0000"/>
          <w:sz w:val="24"/>
          <w:szCs w:val="24"/>
          <w:shd w:val="clear" w:color="auto" w:fill="FFFFFF"/>
        </w:rPr>
      </w:pPr>
      <w:r>
        <w:rPr>
          <w:rFonts w:ascii="Times New Roman" w:hAnsi="Times New Roman" w:cs="Times New Roman"/>
          <w:sz w:val="24"/>
          <w:szCs w:val="24"/>
          <w:shd w:val="clear" w:color="auto" w:fill="FFFFFF"/>
        </w:rPr>
        <w:t>Despite the measures applied to manage postoperative pain, patients continue to experience acute pain after surgical procedure</w:t>
      </w:r>
      <w:r>
        <w:rPr>
          <w:rFonts w:ascii="Times New Roman" w:hAnsi="Times New Roman" w:cs="Times New Roman" w:eastAsiaTheme="minorEastAsia"/>
          <w:sz w:val="24"/>
          <w:szCs w:val="24"/>
        </w:rPr>
        <w:t xml:space="preserve"> </w:t>
      </w:r>
      <w:r>
        <w:rPr>
          <w:rFonts w:ascii="Times New Roman" w:hAnsi="Times New Roman" w:cs="Times New Roman" w:eastAsiaTheme="minorEastAsia"/>
          <w:sz w:val="24"/>
          <w:szCs w:val="24"/>
        </w:rPr>
        <w:fldChar w:fldCharType="begin" w:fldLock="1"/>
      </w:r>
      <w:r>
        <w:rPr>
          <w:rFonts w:ascii="Times New Roman" w:hAnsi="Times New Roman" w:cs="Times New Roman" w:eastAsiaTheme="minorEastAsia"/>
          <w:sz w:val="24"/>
          <w:szCs w:val="24"/>
        </w:rPr>
        <w:instrText xml:space="preserve">ADDIN CSL_CITATION {"citationItems":[{"id":"ITEM-1","itemData":{"abstract":"Background: Patients frequently experience moderate to severe pain in the postoperative period. Although the pain management is an integral and important part of the nursing care, studies suggest that nursing management of postoperative pain remains inadequate. Nurses are responsible in assessing the pain, applying the pharmacologic and/or non-pharmacologic methods, monitoring results, training the patient and family, and documenting the implementations. The nurses' holistic approach to pain management minimizes the patients' pain. Aims: The purpose of this research was to determine post-operative experience of pain among patients undergoing abdominal surgery and to identify nursing approaches to pain control. Methodology: This descriptive study was performed with 103 patients hospitalized in the surgical departments of a public hospital. Results: In the post-surgical period, a mean patient severity of pain of 4.40±2.7 was determined based on a Visual Analogue Scale. Painkillers reduced pain in 89.3% of cases. Pain severity in patients who had previously undergone surgical procedures was higher than that in patients with no such history. We also determined that nurses did not employ scales for pain evaluation and did not assess the nature of the pain. During the process of bringing pain under control, 75.7% of patients reported that a calm and silent environment was provided, 78.6% that they were helped into a suitable position, 47.6% that hot/cold applications were administered, while no other non-pharmalogical procedures such as massage, listening to music or distraction were performed. Conclusions: In conclusion, there appear to be deficiencies regarding the identification and management of pain. In the light of these findings we recommend that research be performed aimed at developing standards for pain management.","author":[{"dropping-particle":"","family":"Ayhan","given":"Fatma","non-dropping-particle":"","parse-names":false,"suffix":""},{"dropping-particle":"","family":"Şerife","given":"Kurşun","non-dropping-particle":"","parse-names":false,"suffix":""}],"container-title":"International Journal of Caring","id":"ITEM-1","issue":"3","issued":{"date-parts":[["2017"]]},"page":"1456-64","title":"Experience of pain in patients undergoing abdominal surgery and nursing approaches to pain control","type":"article-journal","volume":"10"},"uris":["http://www.mendeley.com/documents/?uuid=2f82fa15-003e-4372-8ec4-3464a00606ce"]}],"mendeley":{"formattedCitation":"(Ayhan &amp; Şerife, 2017)","manualFormatting":"(Ayhan &amp; Şerife, 2017; Menlah et al., 2018; Ogboli-Nwasor, Sule, &amp; Yusuf, 2012)","plainTextFormattedCitation":"(Ayhan &amp; Şerife, 2017)","previouslyFormattedCitation":"(Ayhan &amp; Şerife, 2017)"},"properties":{"noteIndex":0},"schema":"https://github.com/citation-style-language/schema/raw/master/csl-citation.json"}</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(Ayhan &amp; Şerife, 2017; Menlah et al., 2018; Ogboli-Nwasor, Sule, &amp; Yusuf, 2012)</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t xml:space="preserve">. </w:t>
      </w:r>
      <w:r>
        <w:rPr>
          <w:rFonts w:ascii="Times New Roman" w:hAnsi="Times New Roman" w:cs="Times New Roman"/>
          <w:bCs/>
          <w:sz w:val="24"/>
          <w:szCs w:val="24"/>
          <w:shd w:val="clear" w:color="auto" w:fill="FFFFFF"/>
        </w:rPr>
        <w:t>An educational intervention of introducing a pain assessment scale to the nurses knowledge ,attitude and practice  will be employed to improve the assessment of the pain using a numerical rating scale in order to increase nurses' ability to provide effective postoperative treatment (Timby &amp; Smith, 2018).  As a result, the study will outline how using the pain assessment scale affected nurses' knowledge, attitude, and practices about post-operative pain care on the surgical ward. This concentrated on the first 48 hours following surgery, when pain is still recent and severe.</w:t>
      </w:r>
      <w:bookmarkEnd w:id="12"/>
    </w:p>
    <w:p>
      <w:pPr>
        <w:pStyle w:val="3"/>
        <w:rPr>
          <w:rFonts w:ascii="Times New Roman" w:hAnsi="Times New Roman" w:cs="Times New Roman"/>
          <w:b w:val="0"/>
          <w:sz w:val="24"/>
          <w:szCs w:val="24"/>
        </w:rPr>
      </w:pPr>
      <w:bookmarkStart w:id="13" w:name="_Toc134604126"/>
      <w:bookmarkStart w:id="14" w:name="_Toc142753376"/>
      <w:r>
        <w:rPr>
          <w:rFonts w:ascii="Times New Roman" w:hAnsi="Times New Roman" w:cs="Times New Roman"/>
          <w:sz w:val="24"/>
          <w:szCs w:val="24"/>
        </w:rPr>
        <w:t>Background</w:t>
      </w:r>
      <w:bookmarkEnd w:id="13"/>
      <w:bookmarkEnd w:id="14"/>
    </w:p>
    <w:p>
      <w:pPr>
        <w:pStyle w:val="24"/>
        <w:tabs>
          <w:tab w:val="left" w:pos="9360"/>
        </w:tabs>
        <w:autoSpaceDE w:val="0"/>
        <w:autoSpaceDN w:val="0"/>
        <w:adjustRightInd w:val="0"/>
        <w:spacing w:before="100" w:beforeAutospacing="1" w:after="100" w:afterAutospacing="1" w:line="480" w:lineRule="auto"/>
        <w:ind w:left="90" w:firstLine="720"/>
        <w:jc w:val="both"/>
        <w:rPr>
          <w:shd w:val="clear" w:color="auto" w:fill="FFFFFF"/>
        </w:rPr>
      </w:pPr>
      <w:r>
        <w:rPr>
          <w:shd w:val="clear" w:color="auto" w:fill="FFFFFF"/>
        </w:rPr>
        <w:t xml:space="preserve"> Postoperative pain (POP) remains one of the greatest concerns for patients following surgical procedures. </w:t>
      </w:r>
      <w:bookmarkStart w:id="15" w:name="_Hlk94909687"/>
      <w:r>
        <w:t>Acute pain from tissue damage after surgical operations such skin incision, tissue dissection, manipulation, and traction is referred to as post-operative pain</w:t>
      </w:r>
      <w:r>
        <w:rPr>
          <w:bCs/>
        </w:rPr>
        <w:fldChar w:fldCharType="begin" w:fldLock="1"/>
      </w:r>
      <w:r>
        <w:rPr>
          <w:bCs/>
        </w:rPr>
        <w:instrText xml:space="preserve">ADDIN CSL_CITATION {"citationItems":[{"id":"ITEM-1","itemData":{"DOI":"10.1155/2019/9091467","ISSN":"2090-1429","abstract":" Background. Postoperative pain remains one of the greatest concerns for patients following surgical procedures. Nurses play an essential role in postoperative pain assessment and management, especially within the first few days after surgery. Objective. The study investigated how nurses in a resource-constraint hospital in Ghana assessed and managed postoperative pain. Methods. This was an explorative qualitative study involving 12 registered nurses practising in the largest referral hospital in Ghana. Data was gathered using a semistructured interview guide. Demographic characteristics of participants were summarized using descriptive statistics. Data were analysed using Kvale’s three phases for analysing qualitative data. First, the entire text was read again to identify meaning units which were then condensed. Second, the condensed texts were read again and interpreted. Finally, the condensed data containing similar meaning were coded and then sorted into subthemes. Results. It was found that some nurses have never used any pain assessment tool due to lack of standard tool for assessing postoperative pain. The majority of nurses reported that managing pain by using medication was the norm especially in the first 24 hours after surgery. Conclusion. Although participants may have some knowledge of assessing and managing postoperative pain, this knowledge was not largely used to manage postoperative pain effectively, partly because of resource constraints. Therefore, there is the need for adequate training and with provision of resources, it is imperative that the use of standardized pain assessment scales could help in the proper assessment and management of postoperative pain in this setting. ","author":[{"dropping-particle":"","family":"Mahama","given":"Faisal","non-dropping-particle":"","parse-names":false,"suffix":""},{"dropping-particle":"","family":"Ninnoni","given":"Jerry P. K.","non-dropping-particle":"","parse-names":false,"suffix":""}],"container-title":"Nursing Research and Practice","id":"ITEM-1","issued":{"date-parts":[["2019"]]},"page":"1-7","title":"Assessment and Management of Postoperative Pain among Nurses at a Resource-Constraint Teaching Hospital in Ghana","type":"article-journal","volume":"2019"},"uris":["http://www.mendeley.com/documents/?uuid=913ba63c-f6cb-436f-815a-cfce17096014"]}],"mendeley":{"formattedCitation":"(Mahama &amp; Ninnoni, 2019)","plainTextFormattedCitation":"(Mahama &amp; Ninnoni, 2019)","previouslyFormattedCitation":"(Mahama &amp; Ninnoni, 2019)"},"properties":{"noteIndex":0},"schema":"https://github.com/citation-style-language/schema/raw/master/csl-citation.json"}</w:instrText>
      </w:r>
      <w:r>
        <w:rPr>
          <w:bCs/>
        </w:rPr>
        <w:fldChar w:fldCharType="separate"/>
      </w:r>
      <w:r>
        <w:rPr>
          <w:bCs/>
        </w:rPr>
        <w:t>(Mahama &amp; Ninnoni, 2019</w:t>
      </w:r>
      <w:r>
        <w:rPr>
          <w:bCs/>
        </w:rPr>
        <w:fldChar w:fldCharType="end"/>
      </w:r>
      <w:r>
        <w:rPr>
          <w:rFonts w:eastAsia="Times New Roman"/>
          <w:bCs/>
        </w:rPr>
        <w:t>;</w:t>
      </w:r>
      <w:r>
        <w:rPr>
          <w:bCs/>
        </w:rPr>
        <w:t xml:space="preserve"> </w:t>
      </w:r>
      <w:r>
        <w:rPr>
          <w:bCs/>
        </w:rPr>
        <w:fldChar w:fldCharType="begin" w:fldLock="1"/>
      </w:r>
      <w:r>
        <w:rPr>
          <w:bCs/>
        </w:rPr>
        <w:instrText xml:space="preserve">ADDIN CSL_CITATION {"citationItems":[{"id":"ITEM-1","itemData":{"author":[{"dropping-particle":"","family":"Barbara, Kuhn, Timby and Smith","given":"E. Nancy","non-dropping-particle":"","parse-names":false,"suffix":""}],"id":"ITEM-1","issued":{"date-parts":[["2018"]]},"publisher":"Wolters Kluwer","title":"Introductory Medical-Surgical Nursing","type":"book"},"uris":["http://www.mendeley.com/documents/?uuid=c37f5d89-50f3-4d58-9e2a-32f08cffa802"]}],"mendeley":{"formattedCitation":"(Barbara, Kuhn, Timby and Smith, 2018)","manualFormatting":"(Timby &amp; Smith, 2018)","plainTextFormattedCitation":"(Barbara, Kuhn, Timby and Smith, 2018)","previouslyFormattedCitation":"(Barbara, Kuhn, Timby and Smith, 2018)"},"properties":{"noteIndex":0},"schema":"https://github.com/citation-style-language/schema/raw/master/csl-citation.json"}</w:instrText>
      </w:r>
      <w:r>
        <w:rPr>
          <w:bCs/>
        </w:rPr>
        <w:fldChar w:fldCharType="separate"/>
      </w:r>
      <w:r>
        <w:rPr>
          <w:bCs/>
        </w:rPr>
        <w:t>Timby &amp; Smith, 2018</w:t>
      </w:r>
      <w:r>
        <w:rPr>
          <w:bCs/>
        </w:rPr>
        <w:fldChar w:fldCharType="end"/>
      </w:r>
      <w:r>
        <w:rPr>
          <w:bCs/>
        </w:rPr>
        <w:t>;</w:t>
      </w:r>
      <w:r>
        <w:rPr>
          <w:rFonts w:eastAsia="Times New Roman"/>
          <w:bCs/>
        </w:rPr>
        <w:t xml:space="preserve"> </w:t>
      </w:r>
      <w:r>
        <w:rPr>
          <w:rFonts w:eastAsia="Times New Roman"/>
          <w:bCs/>
        </w:rPr>
        <w:fldChar w:fldCharType="begin" w:fldLock="1"/>
      </w:r>
      <w:r>
        <w:rPr>
          <w:rFonts w:eastAsia="Times New Roman"/>
          <w:bCs/>
        </w:rPr>
        <w:instrText xml:space="preserve">ADDIN CSL_CITATION {"citationItems":[{"id":"ITEM-1","itemData":{"DOI":"10.4314/thrb.v16i1.7","ISSN":"18216404","PMID":"26867272","abstract":"Inadequately controlled postoperative pain (POP) subjects individuals to complications which may be fatal or leading to prolonged hospital stay. Complications from inadequately controlled POP may alleviate the existing shortage of hospital human resource for health in health facilities in developing countries. The burden and challenges of POP management at health facilities in Tanzania is not known. This study was therefore carried out to evaluate postoperative pain management and patient satisfaction with care given at Kilimanjaro Christian Medical Centre (KCMC). This descriptive prospective hospital based study, was conducted at the Kilimanjaro Christian Medical Centre in Moshi, Tanzania from August 2011 to March 2012. POP and patients' satisfaction with pain relief scores were assessed using pain and satisfaction numerical rating scales. Pain assessment was done at 24 hours and 48 hours after operation. Satisfaction was assessed on 48 hours post surgery. All adult patient aged 18 years and above whom were operated in general surgery ward, KCMC and accepted by signing consent were involved in the study. Patients suffering from nervous system were excluded from the study. A total number of 124 patients were recruited and participated in the study. Sixty-five (52.4%) were males and 59 (47.6%) females. Mean age (SD) years 40.9 ± 15.4. The largest percentage of individuals had mild pain both at rest (45.2%) and during movement (44.4%). Patients whose analgesia was administered intravenously were more likely to be satisfied with POP management than those given intramuscular analgesics (P= 0.028). Analgesia used in combination increased significantly the proportion of pain free individuals 48 hours postoperative compared to 24 hours postoperative (P= 0.003). In conclusion, the postoperative pain management is still a challenge in our centre as nearly half of the patient had mild pain in the first 48 hours post surgery.","author":[{"dropping-particle":"","family":"Masigati","given":"Herbert G.","non-dropping-particle":"","parse-names":false,"suffix":""},{"dropping-particle":"","family":"Chilonga","given":"Kondo S.","non-dropping-particle":"","parse-names":false,"suffix":""}],"container-title":"Tanzania Journal of Health Research","id":"ITEM-1","issue":"1","issued":{"date-parts":[["2014"]]},"title":"Postoperative pain management outcomes among adults treated at a tertiary hospital in Moshi, Tanzania","type":"article-journal","volume":"16"},"uris":["http://www.mendeley.com/documents/?uuid=b7f7f79a-e874-4a8b-bae8-88a639bd37eb"]}],"mendeley":{"formattedCitation":"(Masigati &amp; Chilonga, 2014)","plainTextFormattedCitation":"(Masigati &amp; Chilonga, 2014)","previouslyFormattedCitation":"(Masigati &amp; Chilonga, 2014)"},"properties":{"noteIndex":0},"schema":"https://github.com/citation-style-language/schema/raw/master/csl-citation.json"}</w:instrText>
      </w:r>
      <w:r>
        <w:rPr>
          <w:rFonts w:eastAsia="Times New Roman"/>
          <w:bCs/>
        </w:rPr>
        <w:fldChar w:fldCharType="separate"/>
      </w:r>
      <w:r>
        <w:rPr>
          <w:rFonts w:eastAsia="Times New Roman"/>
          <w:bCs/>
        </w:rPr>
        <w:t>Masigati &amp; Chilonga, 2014</w:t>
      </w:r>
      <w:r>
        <w:rPr>
          <w:rFonts w:eastAsia="Times New Roman"/>
          <w:bCs/>
        </w:rPr>
        <w:fldChar w:fldCharType="end"/>
      </w:r>
      <w:r>
        <w:rPr>
          <w:rFonts w:eastAsia="Times New Roman"/>
          <w:bCs/>
        </w:rPr>
        <w:t xml:space="preserve">; </w:t>
      </w:r>
      <w:r>
        <w:rPr>
          <w:rFonts w:eastAsia="Times New Roman"/>
          <w:bCs/>
        </w:rPr>
        <w:fldChar w:fldCharType="begin" w:fldLock="1"/>
      </w:r>
      <w:r>
        <w:rPr>
          <w:rFonts w:eastAsia="Times New Roman"/>
          <w:bCs/>
        </w:rPr>
        <w:instrText xml:space="preserve">ADDIN CSL_CITATION {"citationItems":[{"id":"ITEM-1","itemData":{"DOI":"10.1177/2377960818790383","ISSN":"23779608","abstract":"Introduction: There is documented evidence pointing to the fact that there are numerous challenges with postoperative pain (POP) management globally. However, these challenges with POP management are more profound in developing countries. Purpose: The purpose of this study is to examine the knowledge, attitude, and practices of nurses concerning POP management in four selected district hospitals in Ghana. Methodology: A descriptive, cross-sectional survey was employed to evaluate nurse's knowledge, attitude, and practices pertaining to POP management. Multistaged sampling was used to draw the respondents. An adapted version of the Nurses Knowledge and Attitudes Survey Regarding Pain instrument was used to test the knowledge, attitude, and practices of nurses and midwives. Descriptive statistics were used to analyze the data in order to present quantitative descriptions of variables in this study. Results: This study showed that nurses in the four district hospitals had knowledge deficits regarding POP management. Eighty-one representing 48% of nurses had low knowledge on POP management. An overwhelming majority of nurses (97.6%) relied on routinely rendered basic nursing skills to relieve POP and a few used pharmacological interventions. However, nurses had good attitudes toward POP management. Conclusions: POP is ineffectively managed by nurses in district hospitals in Ghana. Nurses and midwives in Ghana need to adhere to best practices in POP management by increasing their theoretical and practical knowledge, so that there will be tangible positive change in POP management in Ghana. Recommendations: Nurses must be empowered through continuous development programs to keep abreast with changing trends that pertain to POP management.","author":[{"dropping-particle":"","family":"Menlah","given":"Awube","non-dropping-particle":"","parse-names":false,"suffix":""},{"dropping-particle":"","family":"Garti","given":"Isabella","non-dropping-particle":"","parse-names":false,"suffix":""},{"dropping-particle":"","family":"Amoo","given":"Sarah Ama","non-dropping-particle":"","parse-names":false,"suffix":""},{"dropping-particle":"","family":"Atakro","given":"Confidence Alorse","non-dropping-particle":"","parse-names":false,"suffix":""},{"dropping-particle":"","family":"Amponsah","given":"Caleb","non-dropping-particle":"","parse-names":false,"suffix":""},{"dropping-particle":"","family":"Agyare","given":"Dorcas Frempomaa","non-dropping-particle":"","parse-names":false,"suffix":""}],"container-title":"SAGE Open Nursing","id":"ITEM-1","issued":{"date-parts":[["2018"]]},"page":"1-11","title":"Knowledge, Attitudes, and Practices of Postoperative Pain Management by Nurses in Selected District Hospitals in Ghana","type":"article-journal","volume":"4"},"uris":["http://www.mendeley.com/documents/?uuid=07b40d8d-551e-4a98-9e1d-ebebaef22123"]}],"mendeley":{"formattedCitation":"(Menlah et al., 2018)","plainTextFormattedCitation":"(Menlah et al., 2018)","previouslyFormattedCitation":"(Menlah et al., 2018)"},"properties":{"noteIndex":0},"schema":"https://github.com/citation-style-language/schema/raw/master/csl-citation.json"}</w:instrText>
      </w:r>
      <w:r>
        <w:rPr>
          <w:rFonts w:eastAsia="Times New Roman"/>
          <w:bCs/>
        </w:rPr>
        <w:fldChar w:fldCharType="separate"/>
      </w:r>
      <w:r>
        <w:rPr>
          <w:rFonts w:eastAsia="Times New Roman"/>
          <w:bCs/>
        </w:rPr>
        <w:t>Menlah et al., 2018)</w:t>
      </w:r>
      <w:r>
        <w:rPr>
          <w:rFonts w:eastAsia="Times New Roman"/>
          <w:bCs/>
        </w:rPr>
        <w:fldChar w:fldCharType="end"/>
      </w:r>
      <w:bookmarkEnd w:id="15"/>
      <w:r>
        <w:rPr>
          <w:bCs/>
        </w:rPr>
        <w:t>.</w:t>
      </w:r>
      <w:r>
        <w:t xml:space="preserve"> Therefore, nursing care for post-operative patients must include pain management as a key component. In order to provide and sustain comfort during the recovery phase, pain reduction is a goal</w:t>
      </w:r>
      <w:r>
        <w:rPr>
          <w:shd w:val="clear" w:color="auto" w:fill="FFFFFF"/>
        </w:rPr>
        <w:fldChar w:fldCharType="begin" w:fldLock="1"/>
      </w:r>
      <w:r>
        <w:rPr>
          <w:shd w:val="clear" w:color="auto" w:fill="FFFFFF"/>
        </w:rPr>
        <w:instrText xml:space="preserve">ADDIN CSL_CITATION {"citationItems":[{"id":"ITEM-1","itemData":{"ISBN":"9789185835799","abstract":"Background: Pain is a common postoperative experience. Guidelines recommend performing regular pain assessments, which include self-rated pain and additional communication to capture patients' experiences. During\r\nhospitalisation, pain intensity is found to be a vital factor influencing other aspects of an early physical recovery, and is consequently an important item in questionnaires for recovery. These tools consist of extensive\r\nquestionnaires which are difficult to use in everyday clinical work. A simplified method of monitoring postoperative recovery would benefit both patients and healthcare professionals.\r\nAim: The overall aim of this thesis was twofold: (A) to determine the ability of extending the use of pain ratings to reflect and predict early physical postoperative recovery and (B) to describe patients’ perspectives on pain\r\nassessments \r\nMethods: The studies were carried out at one (I), three (IV) and four hospitals (II, III) involving general surgical and orthopaedic inpatients. Two\r\nquantitative methods were used based on data from questionnaires and medical records. They consisted of one cross-sectional study (I) and one study with repeated measures (IV). An association was sought between pain\r\nintensity and postoperative recovery on days 1 and 2 (I, IV), and prehospital data (IV). Two qualitative methods were used involving a\r\nphenomenographic (III) approach and Critical Incident Technique (IV), where semi-structured interviews were performed postoperatively and\r\nanalysed inductively in accordance with the approach.\r\nResults: An association was found between moderate/severe average pain\r\nintensity compiled from monitoring records and impact on early physical\r\npostoperative recovery on day 1 (I). Retrospective average pain intensity at\r\nrest and during activity reflected impact on recovery on postoperative day 1\r\n(IV). Severe pain intensity at rest and during activity on postoperative day 1\r\npredicted impact on physical recovery items on day 2 (IV).\r\nThe use of the Numeric Rating Scale (NRS 0-10) was considered to facilitate\r\ncommunication about pain, but to involve difficulties of interpretation and\r\nplace demand on healthcare professionals and care routines (II). Patients’\r\ndescriptions of their experiences when in need of describing pain indicated\r\ntwo main areas: patients’ resources when needing to describe pain and ward\r\nresources for performing pain assessments (III). Descriptions of their actions when they were in pain indicated …","author":[{"dropping-particle":"","family":"Eriksson","given":"Kerstin","non-dropping-particle":"","parse-names":false,"suffix":""}],"id":"ITEM-1","issue":"080","issued":{"date-parts":[["2017"]]},"number-of-pages":"76","title":"Postoperative pain assessment and impact of pain on early physical recovery, from the patients' perspective","type":"book"},"uris":["http://www.mendeley.com/documents/?uuid=61cd614e-f2a6-4dc7-ac09-1117d5928423"]}],"mendeley":{"formattedCitation":"(Eriksson, 2017)","plainTextFormattedCitation":"(Eriksson, 2017)","previouslyFormattedCitation":"(Eriksson, 2017)"},"properties":{"noteIndex":0},"schema":"https://github.com/citation-style-language/schema/raw/master/csl-citation.json"}</w:instrText>
      </w:r>
      <w:r>
        <w:rPr>
          <w:shd w:val="clear" w:color="auto" w:fill="FFFFFF"/>
        </w:rPr>
        <w:fldChar w:fldCharType="separate"/>
      </w:r>
      <w:r>
        <w:rPr>
          <w:shd w:val="clear" w:color="auto" w:fill="FFFFFF"/>
        </w:rPr>
        <w:t xml:space="preserve">(Eriksson, 2017 </w:t>
      </w:r>
      <w:r>
        <w:rPr>
          <w:shd w:val="clear" w:color="auto" w:fill="FFFFFF"/>
        </w:rPr>
        <w:fldChar w:fldCharType="end"/>
      </w:r>
      <w:r>
        <w:rPr>
          <w:shd w:val="clear" w:color="auto" w:fill="FFFFFF"/>
        </w:rPr>
        <w:t xml:space="preserve">; Timby &amp; Smith, 2018) </w:t>
      </w:r>
      <w:r>
        <w:rPr>
          <w:b/>
        </w:rPr>
        <w:t>.</w:t>
      </w:r>
      <w:r>
        <w:t xml:space="preserve"> </w:t>
      </w:r>
      <w:r>
        <w:rPr>
          <w:shd w:val="clear" w:color="auto" w:fill="FFFFFF"/>
        </w:rPr>
        <w:t xml:space="preserve">Several pain management strategies are in place to promote postoperative pain management such as pharmacological measures, non-pharmacological measures, and </w:t>
      </w:r>
      <w:bookmarkStart w:id="16" w:name="_Hlk97882943"/>
      <w:r>
        <w:rPr>
          <w:shd w:val="clear" w:color="auto" w:fill="FFFFFF"/>
        </w:rPr>
        <w:t>assessment to make the pain visible so that it can be managed appropriately</w:t>
      </w:r>
      <w:bookmarkEnd w:id="16"/>
      <w:r>
        <w:rPr>
          <w:shd w:val="clear" w:color="auto" w:fill="FFFFFF"/>
        </w:rPr>
        <w:t xml:space="preserve">. </w:t>
      </w:r>
    </w:p>
    <w:p>
      <w:pPr>
        <w:pStyle w:val="24"/>
        <w:tabs>
          <w:tab w:val="left" w:pos="9360"/>
        </w:tabs>
        <w:autoSpaceDE w:val="0"/>
        <w:autoSpaceDN w:val="0"/>
        <w:adjustRightInd w:val="0"/>
        <w:spacing w:before="100" w:beforeAutospacing="1" w:after="100" w:afterAutospacing="1" w:line="480" w:lineRule="auto"/>
        <w:ind w:left="90" w:firstLine="720"/>
        <w:jc w:val="both"/>
        <w:rPr>
          <w:shd w:val="clear" w:color="auto" w:fill="FFFFFF"/>
        </w:rPr>
      </w:pPr>
      <w:r>
        <w:t>The pharmacological measures involve the use of prescribed drugs and their effects in the management of postoperative pain. Opioids such as morphine or pethidine injections are commonly used analgesics administered every 6 to 8 hours respectively regardless of the pain level. Nonpharmacological measures are science-based and non- invasive interventions that do not involve medication in preventing and managing pain. These include physical exercises like ambulation, positioning and turning in bed, music, imagery, and massage among others. The non-pharmacological measures help to minimize both the perception and sensation of postoperative pain</w:t>
      </w:r>
      <w:r>
        <w:rPr>
          <w:color w:val="333333"/>
          <w:shd w:val="clear" w:color="auto" w:fill="FFFFFF"/>
        </w:rPr>
        <w:t xml:space="preserve"> </w:t>
      </w:r>
      <w:r>
        <w:rPr>
          <w:bCs/>
        </w:rPr>
        <w:fldChar w:fldCharType="begin" w:fldLock="1"/>
      </w:r>
      <w:r>
        <w:rPr>
          <w:bCs/>
        </w:rPr>
        <w:instrText xml:space="preserve">ADDIN CSL_CITATION {"citationItems":[{"id":"ITEM-1","itemData":{"DOI":"10.1186/s12912-020-00492-0","ISSN":"14726955","abstract":"Background: Pharmacological methods are widely used for postoperative pain management however, poorly controlled pain continues to pose a significant challenge. Non pharmacological methods could contribute to the unresolved postoperative pain management in assisting nurses’ routine care and reducing the need for medication. This study aimed to assess nurses’ utilization of non-pharmacological methods in postoperative pain and the perceived barriers for their implementation at the National Hospitals. Methods: This was a descriptive cross sectional study conducted among 154 nurses working at the National Referral Hospitals and Sembel Private Hospital. A standardized five-point Likert-scale questionnaire which assesses nurses’ utilization of selected non-pharmacological methods and the perceived barriers for the implementation was used to collect data. Descriptive statistics for the demographic data, independent samples t-test, one way ANOVA and factorial ANOVA were used to analyze the data. Statistical significance level was set at P &lt; 0.05. Results: The study found out that emotional support (45.5%), helping with daily activities (67.5%) and creating a comfortable environment (61%) were mostly used while, cognitive-behavioral (5.9%) and physical methods (5.8%) were hardly used. The results also showed that, characteristics such as, age (p = 0.013), level of education (p = 0.012), work experience (p = 0.001) and place of work (p = 0.001), were significantly related to the use of non-pharmacological methods at bivariate level. However, hospitals were the only determinants of the non-pharmacological methods at multivariable level with a statistical significance of (p &lt; 0.001). On the perceived barriers; heavy work load (87.7%), shortage of time (84.4%), limited resources (82.5%), deficit in the guidelines for pain management (77.3%), patient’s uncooperative behavior (57.1%), language difference (64.4%), nurse’s lack of knowledge (50%) and experience (40.3%) were identified. Conclusion: The use of non-pharmacological methods in the studied hospitals varied greatly due to knowledge and experience of the nurses. Therefore, it is recommended that exposure and training for all health care providers at all level is a paramount importance in order to appreciate the benefits of non-pharmacological methods applicable to postoperative pain management. This could be achieved through on job training, seminars, scientific conferences and other brainstorming forums.","author":[{"dropping-particle":"","family":"Kidanemariam","given":"Betiel Yihdego","non-dropping-particle":"","parse-names":false,"suffix":""},{"dropping-particle":"","family":"Elsholz","given":"Traudl","non-dropping-particle":"","parse-names":false,"suffix":""},{"dropping-particle":"","family":"Simel","given":"Laban L.","non-dropping-particle":"","parse-names":false,"suffix":""},{"dropping-particle":"","family":"Tesfamariam","given":"Eyasu H.","non-dropping-particle":"","parse-names":false,"suffix":""},{"dropping-particle":"","family":"Andemeskel","given":"Yonatan Mehari","non-dropping-particle":"","parse-names":false,"suffix":""}],"container-title":"BMC Nursing","id":"ITEM-1","issue":"1","issued":{"date-parts":[["2020"]]},"page":"1-10","publisher":"BMC Nursing","title":"Utilization of non-pharmacological methods and the perceived barriers for adult postoperative pain management by the nurses at selected National Hospitals in Asmara, Eritrea","type":"article-journal","volume":"19"},"uris":["http://www.mendeley.com/documents/?uuid=b0fa6a4a-3135-42ba-af65-d06d93e05fa0"]}],"mendeley":{"formattedCitation":"(Kidanemariam et al., 2020)","plainTextFormattedCitation":"(Kidanemariam et al., 2020)","previouslyFormattedCitation":"(Kidanemariam et al., 2020)"},"properties":{"noteIndex":0},"schema":"https://github.com/citation-style-language/schema/raw/master/csl-citation.json"}</w:instrText>
      </w:r>
      <w:r>
        <w:rPr>
          <w:bCs/>
        </w:rPr>
        <w:fldChar w:fldCharType="separate"/>
      </w:r>
      <w:r>
        <w:rPr>
          <w:bCs/>
        </w:rPr>
        <w:t>(Kidanemariam et al., 2020;</w:t>
      </w:r>
      <w:r>
        <w:rPr>
          <w:bCs/>
        </w:rPr>
        <w:fldChar w:fldCharType="end"/>
      </w:r>
      <w:r>
        <w:rPr>
          <w:bCs/>
        </w:rPr>
        <w:t xml:space="preserve"> </w:t>
      </w:r>
      <w:r>
        <w:rPr>
          <w:bCs/>
          <w:shd w:val="clear" w:color="auto" w:fill="FFFFFF"/>
        </w:rPr>
        <w:fldChar w:fldCharType="begin" w:fldLock="1"/>
      </w:r>
      <w:r>
        <w:rPr>
          <w:bCs/>
          <w:shd w:val="clear" w:color="auto" w:fill="FFFFFF"/>
        </w:rPr>
        <w:instrText xml:space="preserve">ADDIN CSL_CITATION {"citationItems":[{"id":"ITEM-1","itemData":{"DOI":"10.5812/aapm.84674","ISSN":"22287531","abstract":"Background: Non-pharmacological methods (NPMs) like cold packs, acupuncture, meditation or distractions are supposed to ease acute post-surgical pain. Objectives: This study assessed how frequently these methods are used in clinical routine and if their use is associated with pain relief or with the wish for more pain treatment. Methods: Data from the world’s largest acute post-operative pain registry, PAIN OUT, was used for this study. In PAIN OUT, patients report their pain levels and side effects related to pain therapy after surgery. Overall, 15 different NPMs were tested for their association with pain relief and the wish for more pain treatment using Mann-Whitney U test, Kruskal-Wallis test, General Linear Model, and Logistic Regression. The researchers adjusted for age and gender, and specifically looked at the three most frequent surgeries: total knee replacement, total hip replacement, and laparoscopic cholecystectomy. Results: Data of 14 767 patients from 12 European hospitals were analyzed. Overall, 6563 (44.4%) patients used at least one NPM; with distraction and cold packs being the most frequently used. The 8204 (55.6%) patients, who did not use NPMs had little yet significantly more pain relief than patients, who used them (means of 71.2% ±27.9% versus 68.6% ±25.7%, P &lt; 0.001). Using NPMs does not affect the wish for more pain treatment. This is true for every single NPM. The only exceptional sub-group included total knee replacement patients, where a positive effect of NPMs was observed. Conclusions: Some NPMs are widely used while others are rarely applied. Their association with pain relief is doubtful. These findings add to a rather contradictory literature. Advantages and disadvantages of applying NPMs solely for pain relief should thus be considered carefully.","author":[{"dropping-particle":"","family":"Komann","given":"Marcus","non-dropping-particle":"","parse-names":false,"suffix":""},{"dropping-particle":"","family":"Weinmann","given":"Claudia","non-dropping-particle":"","parse-names":false,"suffix":""},{"dropping-particle":"","family":"Schwenkglenks","given":"Matthias","non-dropping-particle":"","parse-names":false,"suffix":""},{"dropping-particle":"","family":"Meissner","given":"Winfried","non-dropping-particle":"","parse-names":false,"suffix":""}],"container-title":"Anesthesiology and Pain Medicine","id":"ITEM-1","issue":"2","issued":{"date-parts":[["2019"]]},"page":"1-7","title":"Non-pharmacological methods and post-operative pain relief: An observational study","type":"article-journal","volume":"9"},"uris":["http://www.mendeley.com/documents/?uuid=3fdcf270-ab96-46e0-a9cc-6048b35ffc7a"]}],"mendeley":{"formattedCitation":"(Komann et al., 2019)","manualFormatting":"(Komann, Weinmann, Schenkglenks, &amp; Meissner, 2019)","plainTextFormattedCitation":"(Komann et al., 2019)","previouslyFormattedCitation":"(Komann et al., 2019)"},"properties":{"noteIndex":0},"schema":"https://github.com/citation-style-language/schema/raw/master/csl-citation.json"}</w:instrText>
      </w:r>
      <w:r>
        <w:rPr>
          <w:bCs/>
          <w:shd w:val="clear" w:color="auto" w:fill="FFFFFF"/>
        </w:rPr>
        <w:fldChar w:fldCharType="separate"/>
      </w:r>
      <w:r>
        <w:rPr>
          <w:bCs/>
          <w:shd w:val="clear" w:color="auto" w:fill="FFFFFF"/>
        </w:rPr>
        <w:t>Komann, Weinmann, Schenkglenks, &amp; Meissner, 2019)</w:t>
      </w:r>
      <w:r>
        <w:rPr>
          <w:bCs/>
          <w:shd w:val="clear" w:color="auto" w:fill="FFFFFF"/>
        </w:rPr>
        <w:fldChar w:fldCharType="end"/>
      </w:r>
      <w:r>
        <w:rPr>
          <w:bCs/>
          <w:shd w:val="clear" w:color="auto" w:fill="FFFFFF"/>
        </w:rPr>
        <w:t xml:space="preserve">. </w:t>
      </w:r>
      <w:r>
        <w:rPr>
          <w:bCs/>
          <w:shd w:val="clear" w:color="auto" w:fill="FFFFFF"/>
        </w:rPr>
        <w:fldChar w:fldCharType="begin" w:fldLock="1"/>
      </w:r>
      <w:r>
        <w:rPr>
          <w:bCs/>
          <w:shd w:val="clear" w:color="auto" w:fill="FFFFFF"/>
        </w:rPr>
        <w:instrText xml:space="preserve">ADDIN CSL_CITATION {"citationItems":[{"id":"ITEM-1","itemData":{"DOI":"10.3892/etm.2020.9163","ISSN":"1792-0981","PMID":"32952627","abstract":"The purpose of the present review was to evaluate the available evidence on the efficacy of various non-pharmacological interventions to relieve pain after orthopedic surgical procedures. An electronic search of the PubMed, Embase and Cochrane library databases was performed to retrieve studies of all types assessing the role of non-pharmacological interventions for pain relief after orthopedic surgical procedures. The included studies were required to assess pain outcomes using a validated measurement index, such as the Visual Analog Scale. The quality of randomized control trials (RCTs) was assessed using the Cochrane tool, while the ROBINS-I tool was used for non-RCTs. A total of five studies were included, namely three RCTs and two non-RCTs. The included studies used relaxation therapy, guided imagery, music and audio-visual distraction for pain management. There was considerable heterogeneity concerning study participants and types of intervention, which precluded a meta-analysis. Overall, all studies reported a significant beneficial effect of non-pharmacological interventions for pain relief. To conclude, current evidence from a limited number of studies indicates there may be a potential role of non-pharmacological interventions, including relaxation therapy, guided imagery, music and audio-visual distraction, in pain management of patients after orthopedic surgery. Owing to considerable heterogeneity and risk of bias in the included studies, strong conclusions cannot be drawn. Further high-quality RCTs assessing the role of such non-pharmacological techniques of pain management are required to strengthen the current evidence.","author":[{"dropping-particle":"","family":"Fan","given":"Meifen","non-dropping-particle":"","parse-names":false,"suffix":""},{"dropping-particle":"","family":"Chen","given":"Zheying","non-dropping-particle":"","parse-names":false,"suffix":""}],"container-title":"Experimental and Therapeutic Medicine","id":"ITEM-1","issue":"5","issued":{"date-parts":[["2020"]]},"page":"1-1","title":"A systematic review of non‑pharmacological interventions used for pain relief after orthopedic surgical procedures","type":"article-journal","volume":"20"},"uris":["http://www.mendeley.com/documents/?uuid=22a3f518-663a-4db4-9b2c-62e2a294b2e8"]}],"mendeley":{"formattedCitation":"(Fan &amp; Chen, 2020)","manualFormatting":"Fan and Chen (2020)","plainTextFormattedCitation":"(Fan &amp; Chen, 2020)","previouslyFormattedCitation":"(Fan &amp; Chen, 2020)"},"properties":{"noteIndex":0},"schema":"https://github.com/citation-style-language/schema/raw/master/csl-citation.json"}</w:instrText>
      </w:r>
      <w:r>
        <w:rPr>
          <w:bCs/>
          <w:shd w:val="clear" w:color="auto" w:fill="FFFFFF"/>
        </w:rPr>
        <w:fldChar w:fldCharType="separate"/>
      </w:r>
      <w:r>
        <w:rPr>
          <w:bCs/>
          <w:shd w:val="clear" w:color="auto" w:fill="FFFFFF"/>
        </w:rPr>
        <w:t>Fan and Chen (2020)</w:t>
      </w:r>
      <w:r>
        <w:rPr>
          <w:bCs/>
          <w:shd w:val="clear" w:color="auto" w:fill="FFFFFF"/>
        </w:rPr>
        <w:fldChar w:fldCharType="end"/>
      </w:r>
      <w:r>
        <w:rPr>
          <w:bCs/>
          <w:shd w:val="clear" w:color="auto" w:fill="FFFFFF"/>
        </w:rPr>
        <w:t>,</w:t>
      </w:r>
      <w:r>
        <w:rPr>
          <w:shd w:val="clear" w:color="auto" w:fill="FFFFFF"/>
        </w:rPr>
        <w:t xml:space="preserve"> did a systematic review to assess the evidence on the effectiveness of different non-pharmacological therapies for pain management used following orthopedic surgical procedures, such as relaxation therapy, guided imagery, music, and audio-visual distraction. Despite all the interventions done, no evidence was done after the assessment of pain intensity. </w:t>
      </w:r>
    </w:p>
    <w:p>
      <w:pPr>
        <w:tabs>
          <w:tab w:val="left" w:pos="9360"/>
        </w:tabs>
        <w:autoSpaceDE w:val="0"/>
        <w:autoSpaceDN w:val="0"/>
        <w:adjustRightInd w:val="0"/>
        <w:spacing w:before="100" w:beforeAutospacing="1" w:after="100" w:afterAutospacing="1" w:line="480" w:lineRule="auto"/>
        <w:ind w:left="90" w:firstLine="720"/>
        <w:jc w:val="both"/>
        <w:rPr>
          <w:rFonts w:ascii="Times New Roman" w:hAnsi="Times New Roman" w:eastAsia="Times New Roman" w:cs="Times New Roman"/>
          <w:color w:val="212121"/>
          <w:sz w:val="24"/>
          <w:szCs w:val="24"/>
        </w:rPr>
      </w:pPr>
      <w:r>
        <w:rPr>
          <w:rFonts w:ascii="Times New Roman" w:hAnsi="Times New Roman" w:cs="Times New Roman"/>
          <w:sz w:val="24"/>
          <w:szCs w:val="24"/>
          <w:shd w:val="clear" w:color="auto" w:fill="FFFFFF"/>
        </w:rPr>
        <w:t xml:space="preserve">In addition, pain assessment is a cornerstone in postoperative pain management. </w:t>
      </w:r>
      <w:bookmarkStart w:id="17" w:name="_Hlk98764130"/>
      <w:r>
        <w:rPr>
          <w:rFonts w:ascii="Times New Roman" w:hAnsi="Times New Roman" w:cs="Times New Roman"/>
          <w:bCs/>
          <w:sz w:val="24"/>
          <w:szCs w:val="24"/>
        </w:rPr>
        <w:t>The character, length, intensity, location, and impact of pain on a person's capacity to function are determined through pain assessment</w:t>
      </w:r>
      <w:r>
        <w:rPr>
          <w:rFonts w:ascii="Times New Roman" w:hAnsi="Times New Roman" w:eastAsia="Times New Roman" w:cs="Times New Roman"/>
          <w:bCs/>
          <w:sz w:val="24"/>
          <w:szCs w:val="24"/>
        </w:rPr>
        <w:fldChar w:fldCharType="begin" w:fldLock="1"/>
      </w:r>
      <w:r>
        <w:rPr>
          <w:rFonts w:ascii="Times New Roman" w:hAnsi="Times New Roman" w:eastAsia="Times New Roman" w:cs="Times New Roman"/>
          <w:bCs/>
          <w:sz w:val="24"/>
          <w:szCs w:val="24"/>
        </w:rPr>
        <w:instrText xml:space="preserve">ADDIN CSL_CITATION {"citationItems":[{"id":"ITEM-1","itemData":{"DOI":"10.17712/nsj.2015.2.20140546","ISSN":"13196138","PMID":"25864065","abstract":"Objective: To present data on knowledge and attitudes toward pain assessment among health care providers in Almadinah Almunawwarah, Saudi Arabia. Methods: This exploratory study required at least 100 participants to attain an effect size of 0.2 or larger. A convenience sample was recruited from the major hospitals in Almadinah Almunawwarah, Saudi Arabia; King Fahad Hospital, Ohud Hospital, Alansar Hospital, Almeqat Hospital, and the Maternity Hospital. Data collection occurred between January and April 2014. Knowledge of pain assessment was examined by administering the Knowledge and Attitudes Survey Regarding Pain. Results: Data from 105 participants was collected. Seventy-three participants scored 44% or below (69.5%), and 32 participants scored 45% and above (30.5%). Additionally, only 6 participants (5.7%) scored above 60%. There were significant differences between male and female scores (p=0.05), physicians’ and nurses’ scores (p=0.001), and level of education (p=0.009). There were no significant differences in the passing scores across means of nationality, the department where participants worked, years of experience, and age of participants. Conclusion: There is a deficit in pain assessment knowledge, and pain management in the study group. Continuous education on pain assessment is required to increase the health care providers’ knowledge, and enhance their practices regarding pain assessment and treatment.","author":[{"dropping-particle":"","family":"Al-Quliti","given":"Khalid W.","non-dropping-particle":"","parse-names":false,"suffix":""},{"dropping-particle":"","family":"Alamri","given":"Majed S.","non-dropping-particle":"","parse-names":false,"suffix":""}],"container-title":"Neurosciences","id":"ITEM-1","issue":"2","issued":{"date-parts":[["2015"]]},"page":"131-136","title":"Knowledge, attitudes, and practices of health care providers in Almadinah Almunawwarah, Saudi Arabia","type":"article-journal","volume":"20"},"uris":["http://www.mendeley.com/documents/?uuid=2230e7ec-ed87-4711-985e-53a4e8b1e266"]}],"mendeley":{"formattedCitation":"(Al-Quliti &amp; Alamri, 2015)","plainTextFormattedCitation":"(Al-Quliti &amp; Alamri, 2015)","previouslyFormattedCitation":"(Al-Quliti &amp; Alamri, 2015)"},"properties":{"noteIndex":0},"schema":"https://github.com/citation-style-language/schema/raw/master/csl-citation.json"}</w:instrText>
      </w:r>
      <w:r>
        <w:rPr>
          <w:rFonts w:ascii="Times New Roman" w:hAnsi="Times New Roman" w:eastAsia="Times New Roman" w:cs="Times New Roman"/>
          <w:bCs/>
          <w:sz w:val="24"/>
          <w:szCs w:val="24"/>
        </w:rPr>
        <w:fldChar w:fldCharType="separate"/>
      </w:r>
      <w:r>
        <w:rPr>
          <w:rFonts w:ascii="Times New Roman" w:hAnsi="Times New Roman" w:eastAsia="Times New Roman" w:cs="Times New Roman"/>
          <w:bCs/>
          <w:sz w:val="24"/>
          <w:szCs w:val="24"/>
        </w:rPr>
        <w:t>(Al-Quliti &amp; Alamri, 2015</w:t>
      </w:r>
      <w:r>
        <w:rPr>
          <w:rFonts w:ascii="Times New Roman" w:hAnsi="Times New Roman" w:eastAsia="Times New Roman" w:cs="Times New Roman"/>
          <w:bCs/>
          <w:sz w:val="24"/>
          <w:szCs w:val="24"/>
        </w:rPr>
        <w:fldChar w:fldCharType="end"/>
      </w:r>
      <w:r>
        <w:rPr>
          <w:rFonts w:ascii="Times New Roman" w:hAnsi="Times New Roman" w:eastAsia="Times New Roman" w:cs="Times New Roman"/>
          <w:bCs/>
          <w:sz w:val="24"/>
          <w:szCs w:val="24"/>
        </w:rPr>
        <w:t>;</w:t>
      </w:r>
      <w:r>
        <w:rPr>
          <w:rFonts w:ascii="Times New Roman" w:hAnsi="Times New Roman" w:eastAsia="Times New Roman" w:cs="Times New Roman"/>
          <w:bCs/>
          <w:sz w:val="24"/>
          <w:szCs w:val="24"/>
        </w:rPr>
        <w:fldChar w:fldCharType="begin" w:fldLock="1"/>
      </w:r>
      <w:r>
        <w:rPr>
          <w:rFonts w:ascii="Times New Roman" w:hAnsi="Times New Roman" w:eastAsia="Times New Roman" w:cs="Times New Roman"/>
          <w:bCs/>
          <w:sz w:val="24"/>
          <w:szCs w:val="24"/>
        </w:rPr>
        <w:instrText xml:space="preserve">ADDIN CSL_CITATION {"citationItems":[{"id":"ITEM-1","itemData":{"DOI":"10.1093/bja/aew466","ISSN":"14716771","PMID":"28186223","abstract":"Background. The 100mmvisual analog scale (VAS) score is widely used to measure pain intensity after surgery. Despite this widespread use, it is unclear what constitutes the minimal clinically important difference (MCID); that is, what minimal change in score would indicate a meaningful change in a patient's pain status. Methods. We enrolled a sequential, unselected cohort of patients recovering from surgery and used a VAS to quantify pain intensity. We compared changes in the VAS with a global rating-of-change questionnaire using an anchor-based method and three distribution-based methods (0.3 SD, standard error of the measurement, and 5% range). We then averaged the change estimates to determine the MCID for the pain VAS. The patient acceptable symptom state (PASS) was defined as the 25th centile of the VAS corresponding to a positive patient response to having made a good recovery from surgery. Results. We enrolled 224 patients at the first postoperative visit, and 219 of these were available for a second interview. The VAS scores improved significantly between the first two interviews. Triangulation of distribution and anchor-based methods resulted in an MCID of 9.9 for the pain VAS, and a PASS of 33. Conclusions. Analgesic interventions that provide a change of 10 for the 100mmpain VAS signify a clinically important improvement or deterioration, and a VAS of 33 or less signifies acceptable pain control (i.e. a responder), after surgery.","author":[{"dropping-particle":"","family":"Myles","given":"P. S.","non-dropping-particle":"","parse-names":false,"suffix":""},{"dropping-particle":"","family":"Myles","given":"D. B.","non-dropping-particle":"","parse-names":false,"suffix":""},{"dropping-particle":"","family":"Galagher","given":"W.","non-dropping-particle":"","parse-names":false,"suffix":""},{"dropping-particle":"","family":"Boyd","given":"D.","non-dropping-particle":"","parse-names":false,"suffix":""},{"dropping-particle":"","family":"Chew","given":"C.","non-dropping-particle":"","parse-names":false,"suffix":""},{"dropping-particle":"","family":"MacDonald","given":"N.","non-dropping-particle":"","parse-names":false,"suffix":""},{"dropping-particle":"","family":"Dennis","given":"A.","non-dropping-particle":"","parse-names":false,"suffix":""}],"container-title":"British Journal of Anaesthesia","id":"ITEM-1","issue":"3","issued":{"date-parts":[["2017"]]},"page":"424-429","publisher":"The Author(s)","title":"Measuring acute postoperative pain using the visual analog scale: The minimal clinically important difference and patient acceptable symptom state","type":"article-journal","volume":"118"},"uris":["http://www.mendeley.com/documents/?uuid=e9868862-f2c8-49aa-908e-50102e707a34"]}],"mendeley":{"formattedCitation":"(Myles et al., 2017)","plainTextFormattedCitation":"(Myles et al., 2017)","previouslyFormattedCitation":"(Myles et al., 2017)"},"properties":{"noteIndex":0},"schema":"https://github.com/citation-style-language/schema/raw/master/csl-citation.json"}</w:instrText>
      </w:r>
      <w:r>
        <w:rPr>
          <w:rFonts w:ascii="Times New Roman" w:hAnsi="Times New Roman" w:eastAsia="Times New Roman" w:cs="Times New Roman"/>
          <w:bCs/>
          <w:sz w:val="24"/>
          <w:szCs w:val="24"/>
        </w:rPr>
        <w:fldChar w:fldCharType="separate"/>
      </w:r>
      <w:r>
        <w:rPr>
          <w:rFonts w:ascii="Times New Roman" w:hAnsi="Times New Roman" w:eastAsia="Times New Roman" w:cs="Times New Roman"/>
          <w:bCs/>
          <w:sz w:val="24"/>
          <w:szCs w:val="24"/>
        </w:rPr>
        <w:t xml:space="preserve"> Myles et al., 2017)</w:t>
      </w:r>
      <w:r>
        <w:rPr>
          <w:rFonts w:ascii="Times New Roman" w:hAnsi="Times New Roman" w:eastAsia="Times New Roman" w:cs="Times New Roman"/>
          <w:bCs/>
          <w:sz w:val="24"/>
          <w:szCs w:val="24"/>
        </w:rPr>
        <w:fldChar w:fldCharType="end"/>
      </w:r>
      <w:r>
        <w:rPr>
          <w:rFonts w:ascii="Times New Roman" w:hAnsi="Times New Roman" w:cs="Times New Roman"/>
          <w:bCs/>
          <w:sz w:val="24"/>
          <w:szCs w:val="24"/>
          <w:shd w:val="clear" w:color="auto" w:fill="FFFFFF"/>
        </w:rPr>
        <w:t>.</w:t>
      </w:r>
      <w:r>
        <w:rPr>
          <w:rFonts w:ascii="Times New Roman" w:hAnsi="Times New Roman" w:cs="Times New Roman"/>
          <w:bCs/>
          <w:sz w:val="24"/>
          <w:szCs w:val="24"/>
        </w:rPr>
        <w:t xml:space="preserve"> Pain is subjective and therefore varies from one individual to another. </w:t>
      </w:r>
      <w:r>
        <w:rPr>
          <w:rFonts w:ascii="Times New Roman" w:hAnsi="Times New Roman" w:cs="Times New Roman"/>
          <w:sz w:val="24"/>
          <w:szCs w:val="24"/>
        </w:rPr>
        <w:t xml:space="preserve">Pain assessment is carried out to help make </w:t>
      </w:r>
      <w:r>
        <w:rPr>
          <w:rFonts w:ascii="Times New Roman" w:hAnsi="Times New Roman" w:cs="Times New Roman"/>
          <w:bCs/>
          <w:sz w:val="24"/>
          <w:szCs w:val="24"/>
        </w:rPr>
        <w:t xml:space="preserve">pain evident for patients who for some reason may be culturally bound not to reflect pain. Determining its characteristics is so crucial because it may lead to a change in the treatment approaches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 xml:space="preserve">ADDIN CSL_CITATION {"citationItems":[{"id":"ITEM-1","itemData":{"DOI":"10.1177/2158244020924377","ISSN":"21582440","abstract":"The aim of the study was to investigate surgical patients’ pain experience and the quality of nursing care in managing acute postoperative pain. A descriptive cross-sectional study using a Strategic and Clinical Quality Indicators in Postoperative Pain Management Questionnaire collected data of 247 patients who underwent surgery in the surgical clinics of a state hospital. Data of 141 patients were included in the analysis. The mean scores for the scale items indicated that the quality of care was acceptable or low. The level of postoperative care, nursing interventions, and environmental subscales of the questionnaire were at an acceptable level, but pain management subscales of the questionnaire were low. These results suggest that health care, including measurable, applicable quality indicators, should be planned and evaluated to maintain professional nursing services, to achieve postoperative pain management and to relieve pain.","author":[{"dropping-particle":"","family":"Köse Tamer","given":"Laika","non-dropping-particle":"","parse-names":false,"suffix":""},{"dropping-particle":"","family":"Sucu Dağ","given":"Gülten","non-dropping-particle":"","parse-names":false,"suffix":""}],"container-title":"SAGE Open","id":"ITEM-1","issue":"2","issued":{"date-parts":[["2020"]]},"title":"The Assessment of Pain and the Quality of Postoperative Pain Management in Surgical Patients","type":"article-journal","volume":"10"},"uris":["http://www.mendeley.com/documents/?uuid=c13e2329-77dd-4ebb-af40-7472ac047451"]}],"mendeley":{"formattedCitation":"(Köse Tamer &amp; Sucu Dağ, 2020)","plainTextFormattedCitation":"(Köse Tamer &amp; Sucu Dağ, 2020)","previouslyFormattedCitation":"(Köse Tamer &amp; Sucu Dağ, 2020)"},"properties":{"noteIndex":0},"schema":"https://github.com/citation-style-language/schema/raw/master/csl-citation.json"}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sz w:val="24"/>
          <w:szCs w:val="24"/>
        </w:rPr>
        <w:t>(Köse Tamer &amp; Sucu Dağ, 2020)</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Pr>
          <w:rFonts w:ascii="Times New Roman" w:hAnsi="Times New Roman" w:cs="Times New Roman"/>
          <w:bCs/>
          <w:sz w:val="24"/>
          <w:szCs w:val="24"/>
          <w:shd w:val="clear" w:color="auto" w:fill="FFFFFF"/>
        </w:rPr>
        <w:t xml:space="preserve">The principles of pain assessment involve history and physical, functional, and </w:t>
      </w:r>
      <w:r>
        <w:rPr>
          <w:rFonts w:ascii="Times New Roman" w:hAnsi="Times New Roman" w:cs="Times New Roman"/>
          <w:sz w:val="24"/>
          <w:szCs w:val="24"/>
          <w:shd w:val="clear" w:color="auto" w:fill="FFFFFF"/>
        </w:rPr>
        <w:t xml:space="preserve">psychosocial assessment. However, to assess postoperative pain, WHO recommends the use of pain assessment scales such as visual analog and numerical rating scales for adults. It’s the nurse’s responsibility to carryout regular assessments for pain intensity and the effect of intervention during post-operative pain management </w:t>
      </w:r>
      <w:r>
        <w:rPr>
          <w:rFonts w:ascii="Times New Roman" w:hAnsi="Times New Roman" w:cs="Times New Roman"/>
          <w:bCs/>
          <w:sz w:val="24"/>
          <w:szCs w:val="24"/>
          <w:shd w:val="clear" w:color="auto" w:fill="FFFFFF"/>
        </w:rPr>
        <w:fldChar w:fldCharType="begin" w:fldLock="1"/>
      </w:r>
      <w:r>
        <w:rPr>
          <w:rFonts w:ascii="Times New Roman" w:hAnsi="Times New Roman" w:cs="Times New Roman"/>
          <w:bCs/>
          <w:sz w:val="24"/>
          <w:szCs w:val="24"/>
          <w:shd w:val="clear" w:color="auto" w:fill="FFFFFF"/>
        </w:rPr>
        <w:instrText xml:space="preserve">ADDIN CSL_CITATION {"citationItems":[{"id":"ITEM-1","itemData":{"DOI":"10.15761/BHC.1000148","abstract":"Introduction: Postoperative pain is an unpleasant experience for patients after thoracic surgery. It is known that these types of surgical procedures cause high intensity of pain. Proper nursing assessment of the patients’ pain is critical as for the right decision to be made in terms of offering quality care and support. Aim: The aim of this study was the evaluation of postoperative pain experienced by patients following thoracic surgery and the correlation with demographic characteristics as well as other factors. Methodology: The McGill questionnaire (long form) was used and statistical analysis was performed with SPSS 21. The sample included (n=30) patients that had thoracic surgery. The study took place in a thoracic surgical department of a hospital in Athens, Greece. Results: Patients mean age was 59 years, 73% had higher education qualifications, 66.7% were male and 33.3% were female. In addition, 40% were from islands, 40% urban and 20% suburban areas of Greece. The majority of the sample (70%) were smokers, while 43% were diagnosed with lung cancer. The vast majority of the sample 93.3% had a close chest drain in situ postoperatively, while thoracotomy was performed on 56.66% of the participants. Pain at the incision site was reported by 43.3%, while 90% of the sample reported absence of external pain and 70% felt relieved with the use of medication. The vast majority of the sample (90%) had undergone surgery with general anesthesia and reported less pain than patients who had local analgesia. Interestingly, the progression of the intensity and type of pain experienced by the patient depends on the recovery days after surgery (a reduction was observed the 5th and 6th day), as it illustrated a gradual decrease up to the day the patient was discharged. Conclusion: This study is original in the international literature. There is no recognized tool to measure postoperative pain experienced by patients who have had thoracic surgery. Based on the results of this study we emphasize the necessity for the design and implementation of an appropriate postoperative assessment ques</w:instrText>
      </w:r>
      <w:r>
        <w:rPr>
          <w:rFonts w:ascii="Times New Roman" w:hAnsi="Times New Roman" w:cs="Times New Roman"/>
          <w:bCs/>
          <w:sz w:val="24"/>
          <w:szCs w:val="24"/>
          <w:shd w:val="clear" w:color="auto" w:fill="FFFFFF"/>
          <w:lang w:val="fr-FR"/>
        </w:rPr>
        <w:instrText xml:space="preserve">tionnaire for these patients.","author":[{"dropping-particle":"","family":"N, Bakalis; G, Vescio; M, Chouti; E, Michalopoulou; P, kiekkas; A, Rizzuto; M, Papandrea; G, Sena; A, Barberio; V, Tiesi; D, Gallo; G, Curro; M, Ammendola; S, De Franciscis; N","given":"Filiotis","non-dropping-particle":"","parse-names":false,"suffix":""}],"container-title":"Blood, Heart and Circulation","id":"ITEM-1","issue":"4","issued":{"date-parts":[["2018"]]},"page":"1-7","title":"Nursing assessment of post-operative pain in patients undergoing general (thoracic) surgery","type":"article-journal","volume":"2"},"uris":["http://www.mendeley.com/documents/?uuid=f1b62e7a-c01f-4a4b-8cde-65a08937f8df"]}],"mendeley":{"formattedCitation":"(N, Bakalis; G, Vescio; M, Chouti; E, Michalopoulou; P, kiekkas; A, Rizzuto; M, Papandrea; G, Sena; A, Barberio; V, Tiesi; D, Gallo; G, Curro; M, Ammendola; S, De Franciscis; N, 2018)","manualFormatting":"(Bakalis et al. (2018)","plainTextFormattedCitation":"(N, Bakalis; G, Vescio; M, Chouti; E, Michalopoulou; P, kiekkas; A, Rizzuto; M, Papandrea; G, Sena; A, Barberio; V, Tiesi; D, Gallo; G, Curro; M, Ammendola; S, De Franciscis; N, 2018)","previouslyFormattedCitation":"(N, Bakalis; G, Vescio; M, Chouti; E, Michalopoulou; P, kiekkas; A, Rizzuto; M, Papandrea; G, Sena; A, Barberio; V, Tiesi; D, Gallo; G, Curro; M, Ammendola; S, De Franciscis; N, 2018)"},"properties":{"noteIndex":0},"schema":"https://github.com/citation-style-language/schema/raw/master/csl-citation.json"}</w:instrText>
      </w:r>
      <w:r>
        <w:rPr>
          <w:rFonts w:ascii="Times New Roman" w:hAnsi="Times New Roman" w:cs="Times New Roman"/>
          <w:bCs/>
          <w:sz w:val="24"/>
          <w:szCs w:val="24"/>
          <w:shd w:val="clear" w:color="auto" w:fill="FFFFFF"/>
        </w:rPr>
        <w:fldChar w:fldCharType="separate"/>
      </w:r>
      <w:r>
        <w:rPr>
          <w:rFonts w:ascii="Times New Roman" w:hAnsi="Times New Roman" w:cs="Times New Roman"/>
          <w:bCs/>
          <w:sz w:val="24"/>
          <w:szCs w:val="24"/>
          <w:shd w:val="clear" w:color="auto" w:fill="FFFFFF"/>
          <w:lang w:val="fr-FR"/>
        </w:rPr>
        <w:t>(Bakalis et al. 2018</w:t>
      </w:r>
      <w:r>
        <w:rPr>
          <w:rFonts w:ascii="Times New Roman" w:hAnsi="Times New Roman" w:cs="Times New Roman"/>
          <w:bCs/>
          <w:sz w:val="24"/>
          <w:szCs w:val="24"/>
          <w:shd w:val="clear" w:color="auto" w:fill="FFFFFF"/>
        </w:rPr>
        <w:fldChar w:fldCharType="end"/>
      </w:r>
      <w:r>
        <w:rPr>
          <w:rFonts w:ascii="Times New Roman" w:hAnsi="Times New Roman" w:cs="Times New Roman"/>
          <w:bCs/>
          <w:sz w:val="24"/>
          <w:szCs w:val="24"/>
          <w:shd w:val="clear" w:color="auto" w:fill="FFFFFF"/>
          <w:lang w:val="fr-FR"/>
        </w:rPr>
        <w:t xml:space="preserve">; </w:t>
      </w:r>
      <w:bookmarkEnd w:id="17"/>
      <w:r>
        <w:rPr>
          <w:rFonts w:ascii="Times New Roman" w:hAnsi="Times New Roman" w:cs="Times New Roman"/>
          <w:bCs/>
          <w:sz w:val="24"/>
          <w:szCs w:val="24"/>
          <w:shd w:val="clear" w:color="auto" w:fill="FFFFFF"/>
        </w:rPr>
        <w:fldChar w:fldCharType="begin" w:fldLock="1"/>
      </w:r>
      <w:r>
        <w:rPr>
          <w:rFonts w:ascii="Times New Roman" w:hAnsi="Times New Roman" w:cs="Times New Roman"/>
          <w:bCs/>
          <w:sz w:val="24"/>
          <w:szCs w:val="24"/>
          <w:shd w:val="clear" w:color="auto" w:fill="FFFFFF"/>
          <w:lang w:val="fr-FR"/>
        </w:rPr>
        <w:instrText xml:space="preserve">ADDIN CSL_CITATION {"citationItems":[{"id":"ITEM-1","itemData":{"DOI":"10.1136/qshc.2004.010330","ISSN":"14753898","PMID":"16195565","abstract":"Problem: There is a need to improve postoperative pain organisation and management in hospitals. One of the most important factors in achieving this is to improve active assessment of pain in the postoperative phase. Design: Repeated audits on an annual basis over a 3 year period. Ward nurses, appointed as \"pain control representatives\", performed the data collection. Setting: Departments of general surgery and orthopaedics in a university hospital with 1200 beds. Key measure for improvement: Assessment of postoperative pain intensity using a numerical rating scale. Strategies for change: On the basis of the first audit in 1999 the team decided to introduce a mandatory training programme in postoperative pain management for all involved staff, including surgeons and ward nurses. Guidelines for postoperative care were upgraded and made accessible through the intranet. Regular staff meetings in the surgical wards with representatives from the acute pain service team were introduced. Effects of change: The assessment of pain according to protocols increased from 71% to 91% in the surgical wards and from 60% to 88% in the orthopaedic wards between 1999 and 2001/2. Lessons learnt: To increase the awareness of pain and improve pain assessment, the importance of mandatory training, regular staff meetings and regular audits must be emphasised. It is also imperative to give feedback on the regular audits to the ward and staff members involved.","author":[{"dropping-particle":"","family":"Karlsten","given":"R.","non-dropping-particle":"","parse-names":false,"suffix":""},{"dropping-particle":"","family":"Ström","given":"K.","non-dropping-particle":"","parse-names":false,"suffix":""},{"dropping-particle":"","family":"Gunningberg","given":"L.","non-dropping-particle":"","parse-names":false,"suffix":""}],"container-title":"Quality and Safety in Health Care","id":"ITEM-1","issue":"5","issued":{"date-parts":[["2005"]]},"page":"332-335","title":"Improving assessment of postoperative pain in surgical wards by education and training","type":"article-journal","volume":"14"},"uris":["http://www.mendeley.com/documents/?uuid=28c78536-e8f3-46a2-af46-26e0e5d842a5"]}],"mendeley":{"formattedCitation":"(Karlsten et al., 2005)","manualFormatting":"(Karlsten, Strom &amp; Gunningberg, 2005)","plainTextFormattedCitation":"(Karlsten et al., 2005)","previouslyFormattedCitation":"(Karlsten et al., 2005)"},"properties":{"noteIndex":0},"schema":"https://github.com/citation-style-language/schema/raw/master/csl-citation.json"}</w:instrText>
      </w:r>
      <w:r>
        <w:rPr>
          <w:rFonts w:ascii="Times New Roman" w:hAnsi="Times New Roman" w:cs="Times New Roman"/>
          <w:bCs/>
          <w:sz w:val="24"/>
          <w:szCs w:val="24"/>
          <w:shd w:val="clear" w:color="auto" w:fill="FFFFFF"/>
        </w:rPr>
        <w:fldChar w:fldCharType="separate"/>
      </w:r>
      <w:r>
        <w:rPr>
          <w:rFonts w:ascii="Times New Roman" w:hAnsi="Times New Roman" w:cs="Times New Roman"/>
          <w:bCs/>
          <w:sz w:val="24"/>
          <w:szCs w:val="24"/>
          <w:shd w:val="clear" w:color="auto" w:fill="FFFFFF"/>
          <w:lang w:val="fr-FR"/>
        </w:rPr>
        <w:t>Karlsten, Strom &amp; Gunningberg, 2005)</w:t>
      </w:r>
      <w:r>
        <w:rPr>
          <w:rFonts w:ascii="Times New Roman" w:hAnsi="Times New Roman" w:cs="Times New Roman"/>
          <w:bCs/>
          <w:sz w:val="24"/>
          <w:szCs w:val="24"/>
          <w:shd w:val="clear" w:color="auto" w:fill="FFFFFF"/>
        </w:rPr>
        <w:fldChar w:fldCharType="end"/>
      </w:r>
      <w:r>
        <w:rPr>
          <w:rFonts w:ascii="Times New Roman" w:hAnsi="Times New Roman" w:cs="Times New Roman"/>
          <w:bCs/>
          <w:sz w:val="24"/>
          <w:szCs w:val="24"/>
          <w:shd w:val="clear" w:color="auto" w:fill="FFFFFF"/>
          <w:lang w:val="fr-FR"/>
        </w:rPr>
        <w:t xml:space="preserve">. </w:t>
      </w:r>
      <w:r>
        <w:rPr>
          <w:rFonts w:ascii="Times New Roman" w:hAnsi="Times New Roman" w:cs="Times New Roman"/>
          <w:bCs/>
          <w:sz w:val="24"/>
          <w:szCs w:val="24"/>
          <w:shd w:val="clear" w:color="auto" w:fill="FFFFFF"/>
        </w:rPr>
        <w:t xml:space="preserve">Several tools exist, that nurses can </w:t>
      </w:r>
      <w:r>
        <w:rPr>
          <w:rFonts w:ascii="Times New Roman" w:hAnsi="Times New Roman" w:cs="Times New Roman"/>
          <w:color w:val="212121"/>
          <w:sz w:val="24"/>
          <w:szCs w:val="24"/>
          <w:shd w:val="clear" w:color="auto" w:fill="FFFFFF"/>
        </w:rPr>
        <w:t xml:space="preserve">use to help measure and better define a person's pain </w:t>
      </w:r>
      <w:r>
        <w:rPr>
          <w:rFonts w:ascii="Times New Roman" w:hAnsi="Times New Roman" w:cs="Times New Roman"/>
          <w:bCs/>
          <w:sz w:val="24"/>
          <w:szCs w:val="24"/>
          <w:shd w:val="clear" w:color="auto" w:fill="FFFFFF"/>
        </w:rPr>
        <w:t>such as v</w:t>
      </w:r>
      <w:r>
        <w:rPr>
          <w:rFonts w:ascii="Times New Roman" w:hAnsi="Times New Roman" w:eastAsia="Times New Roman" w:cs="Times New Roman"/>
          <w:bCs/>
          <w:color w:val="212121"/>
          <w:sz w:val="24"/>
          <w:szCs w:val="24"/>
        </w:rPr>
        <w:t xml:space="preserve">isual analog scales which </w:t>
      </w:r>
      <w:r>
        <w:rPr>
          <w:rFonts w:ascii="Times New Roman" w:hAnsi="Times New Roman" w:eastAsia="Times New Roman" w:cs="Times New Roman"/>
          <w:color w:val="212121"/>
          <w:sz w:val="24"/>
          <w:szCs w:val="24"/>
        </w:rPr>
        <w:t>typically ask a patient to mark a place on a scale that matches their level of pain. Numerical rating scales employ numbers to rate pain, while categorical scales use words as the major means of communication and may additionally use numbers, colors, or relative position</w:t>
      </w:r>
      <w:r>
        <w:rPr>
          <w:rFonts w:ascii="Times New Roman" w:hAnsi="Times New Roman" w:cs="Times New Roman"/>
          <w:bCs/>
          <w:color w:val="212121"/>
          <w:sz w:val="24"/>
          <w:szCs w:val="24"/>
          <w:shd w:val="clear" w:color="auto" w:fill="FFFFFF"/>
        </w:rPr>
        <w:fldChar w:fldCharType="begin" w:fldLock="1"/>
      </w:r>
      <w:r>
        <w:rPr>
          <w:rFonts w:ascii="Times New Roman" w:hAnsi="Times New Roman" w:cs="Times New Roman"/>
          <w:bCs/>
          <w:color w:val="212121"/>
          <w:sz w:val="24"/>
          <w:szCs w:val="24"/>
          <w:shd w:val="clear" w:color="auto" w:fill="FFFFFF"/>
        </w:rPr>
        <w:instrText xml:space="preserve">ADDIN CSL_CITATION {"citationItems":[{"id":"ITEM-1","itemData":{"DOI":"10.17712/nsj.2015.2.20140546","ISSN":"13196138","PMID":"25864065","abstract":"Objective: To present data on knowledge and attitudes toward pain assessment among health care providers in Almadinah Almunawwarah, Saudi Arabia. Methods: This exploratory study required at least 100 participants to attain an effect size of 0.2 or larger. A convenience sample was recruited from the major hospitals in Almadinah Almunawwarah, Saudi Arabia; King Fahad Hospital, Ohud Hospital, Alansar Hospital, Almeqat Hospital, and the Maternity Hospital. Data collection occurred between January and April 2014. Knowledge of pain assessment was examined by administering the Knowledge and Attitudes Survey Regarding Pain. Results: Data from 105 participants was collected. Seventy-three participants scored 44% or below (69.5%), and 32 participants scored 45% and above (30.5%). Additionally, only 6 participants (5.7%) scored above 60%. There were significant differences between male and female scores (p=0.05), physicians’ and nurses’ scores (p=0.001), and level of education (p=0.009). There were no significant differences in the passing scores across means of nationality, the department where participants worked, years of experience, and age of participants. Conclusion: There is a deficit in pain assessment knowledge, and pain management in the study group. Continuous education on pain assessment is required to increase the health care providers’ knowledge, and enhance their practices regarding pain assessment and treatment.","author":[{"dropping-particle":"","family":"Al-Quliti","given":"Khalid W.","non-dropping-particle":"","parse-names":false,"suffix":""},{"dropping-particle":"","family":"Alamri","given":"Majed S.","non-dropping-particle":"","parse-names":false,"suffix":""}],"container-title":"Neurosciences","id":"ITEM-1","issue":"2","issued":{"date-parts":[["2015"]]},"page":"131-136","title":"Knowledge, attitudes, and practices of health care providers in Almadinah Almunawwarah, Saudi Arabia","type":"article-journal","volume":"20"},"uris":["http://www.mendeley.com/documents/?uuid=2230e7ec-ed87-4711-985e-53a4e8b1e266"]}],"mendeley":{"formattedCitation":"(Al-Quliti &amp; Alamri, 2015)","plainTextFormattedCitation":"(Al-Quliti &amp; Alamri, 2015)","previouslyFormattedCitation":"(Al-Quliti &amp; Alamri, 2015)"},"properties":{"noteIndex":0},"schema":"https://github.com/citation-style-language/schema/raw/master/csl-citation.json"}</w:instrText>
      </w:r>
      <w:r>
        <w:rPr>
          <w:rFonts w:ascii="Times New Roman" w:hAnsi="Times New Roman" w:cs="Times New Roman"/>
          <w:bCs/>
          <w:color w:val="212121"/>
          <w:sz w:val="24"/>
          <w:szCs w:val="24"/>
          <w:shd w:val="clear" w:color="auto" w:fill="FFFFFF"/>
        </w:rPr>
        <w:fldChar w:fldCharType="separate"/>
      </w:r>
      <w:r>
        <w:rPr>
          <w:rFonts w:ascii="Times New Roman" w:hAnsi="Times New Roman" w:cs="Times New Roman"/>
          <w:bCs/>
          <w:color w:val="212121"/>
          <w:sz w:val="24"/>
          <w:szCs w:val="24"/>
          <w:shd w:val="clear" w:color="auto" w:fill="FFFFFF"/>
        </w:rPr>
        <w:t>(Al-Quliti &amp; Alamri, 2015)</w:t>
      </w:r>
      <w:r>
        <w:rPr>
          <w:rFonts w:ascii="Times New Roman" w:hAnsi="Times New Roman" w:cs="Times New Roman"/>
          <w:bCs/>
          <w:color w:val="212121"/>
          <w:sz w:val="24"/>
          <w:szCs w:val="24"/>
          <w:shd w:val="clear" w:color="auto" w:fill="FFFFFF"/>
        </w:rPr>
        <w:fldChar w:fldCharType="end"/>
      </w:r>
      <w:r>
        <w:rPr>
          <w:rFonts w:ascii="Times New Roman" w:hAnsi="Times New Roman" w:cs="Times New Roman"/>
          <w:bCs/>
          <w:sz w:val="24"/>
          <w:szCs w:val="24"/>
          <w:shd w:val="clear" w:color="auto" w:fill="FFFFFF"/>
        </w:rPr>
        <w:t>. The instrument of choice for this study is the numerical rating scale (0–10), where 0 denotes "no pain" and 10 denotes "the greatest pain possible." It was chosen due to its clarity, simplicity, and sensitivity to minute variations in pain levels.</w:t>
      </w:r>
    </w:p>
    <w:p>
      <w:pPr>
        <w:tabs>
          <w:tab w:val="left" w:pos="9360"/>
        </w:tabs>
        <w:autoSpaceDE w:val="0"/>
        <w:autoSpaceDN w:val="0"/>
        <w:adjustRightInd w:val="0"/>
        <w:spacing w:before="100" w:beforeAutospacing="1" w:after="100" w:afterAutospacing="1" w:line="480" w:lineRule="auto"/>
        <w:ind w:left="90" w:firstLine="720"/>
        <w:jc w:val="both"/>
        <w:rPr>
          <w:rFonts w:ascii="Times New Roman" w:hAnsi="Times New Roman" w:cs="Times New Roman"/>
          <w:bCs/>
          <w:color w:val="2E2E2E"/>
          <w:sz w:val="24"/>
          <w:szCs w:val="24"/>
        </w:rPr>
      </w:pPr>
      <w:r>
        <w:rPr>
          <w:rFonts w:ascii="Times New Roman" w:hAnsi="Times New Roman" w:cs="Times New Roman"/>
          <w:sz w:val="24"/>
          <w:szCs w:val="24"/>
        </w:rPr>
        <w:drawing>
          <wp:inline distT="0" distB="0" distL="0" distR="0">
            <wp:extent cx="4996815" cy="866775"/>
            <wp:effectExtent l="0" t="0" r="0" b="9525"/>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03315" cy="902707"/>
                    </a:xfrm>
                    <a:prstGeom prst="rect">
                      <a:avLst/>
                    </a:prstGeom>
                    <a:noFill/>
                    <a:ln>
                      <a:noFill/>
                    </a:ln>
                  </pic:spPr>
                </pic:pic>
              </a:graphicData>
            </a:graphic>
          </wp:inline>
        </w:drawing>
      </w:r>
    </w:p>
    <w:p>
      <w:pPr>
        <w:tabs>
          <w:tab w:val="left" w:pos="9360"/>
        </w:tabs>
        <w:autoSpaceDE w:val="0"/>
        <w:autoSpaceDN w:val="0"/>
        <w:adjustRightInd w:val="0"/>
        <w:spacing w:before="100" w:beforeAutospacing="1" w:after="100" w:afterAutospacing="1" w:line="480" w:lineRule="auto"/>
        <w:ind w:left="90" w:firstLine="720"/>
        <w:jc w:val="both"/>
        <w:rPr>
          <w:rFonts w:ascii="Times New Roman" w:hAnsi="Times New Roman" w:cs="Times New Roman"/>
          <w:sz w:val="24"/>
          <w:szCs w:val="24"/>
          <w:shd w:val="clear" w:color="auto" w:fill="FFFFFF"/>
        </w:rPr>
      </w:pPr>
      <w:r>
        <w:rPr>
          <w:rFonts w:ascii="Times New Roman" w:hAnsi="Times New Roman" w:cs="Times New Roman"/>
          <w:bCs/>
          <w:sz w:val="24"/>
          <w:szCs w:val="24"/>
        </w:rPr>
        <w:fldChar w:fldCharType="begin" w:fldLock="1"/>
      </w:r>
      <w:r>
        <w:rPr>
          <w:rFonts w:ascii="Times New Roman" w:hAnsi="Times New Roman" w:cs="Times New Roman"/>
          <w:bCs/>
          <w:sz w:val="24"/>
          <w:szCs w:val="24"/>
        </w:rPr>
        <w:instrText xml:space="preserve">ADDIN CSL_CITATION {"citationItems":[{"id":"ITEM-1","itemData":{"DOI":"10.1097/BTO.0000000000000245.Goals","ISBN":"0000000000000","author":[{"dropping-particle":"","family":"Le-wendling","given":"Linda","non-dropping-particle":"","parse-names":false,"suffix":""},{"dropping-particle":"","family":"Medicine","given":"Perioperative Pain","non-dropping-particle":"","parse-names":false,"suffix":""},{"dropping-particle":"","family":"Glick","given":"Wesley","non-dropping-particle":"","parse-names":false,"suffix":""},{"dropping-particle":"","family":"Medicine","given":"Perioperative Pain","non-dropping-particle":"","parse-names":false,"suffix":""},{"dropping-particle":"","family":"Pain","given":"Perioperative","non-dropping-particle":"","parse-names":false,"suffix":""},{"dropping-particle":"","family":"Tighe","given":"Patrick","non-dropping-particle":"","parse-names":false,"suffix":""},{"dropping-particle":"","family":"Medicine","given":"Perioperative Pain","non-dropping-particle":"","parse-names":false,"suffix":""}],"id":"ITEM-1","issue":"4","issued":{"date-parts":[["2018"]]},"page":"200-208","title":"HHS Public Access","type":"article-journal","volume":"32"},"uris":["http://www.mendeley.com/documents/?uuid=142fc6a0-389d-460a-9419-3b880c0d433a"]}],"mendeley":{"formattedCitation":"(Le-wendling et al., 2018)","manualFormatting":"Le-wendling, Glick, and Tighe (2018)","plainTextFormattedCitation":"(Le-wendling et al., 2018)","previouslyFormattedCitation":"(Le-wendling et al., 2018)"},"properties":{"noteIndex":0},"schema":"https://github.com/citation-style-language/schema/raw/master/csl-citation.json"}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sz w:val="24"/>
          <w:szCs w:val="24"/>
        </w:rPr>
        <w:t>Le-wendling, Glick, and Tighe (2018)</w:t>
      </w:r>
      <w:r>
        <w:rPr>
          <w:rFonts w:ascii="Times New Roman" w:hAnsi="Times New Roman" w:cs="Times New Roman"/>
          <w:bCs/>
          <w:sz w:val="24"/>
          <w:szCs w:val="24"/>
        </w:rPr>
        <w:fldChar w:fldCharType="end"/>
      </w:r>
      <w:r>
        <w:rPr>
          <w:rFonts w:ascii="Times New Roman" w:hAnsi="Times New Roman" w:cs="Times New Roman"/>
          <w:sz w:val="24"/>
          <w:szCs w:val="24"/>
          <w:shd w:val="clear" w:color="auto" w:fill="FFFFFF"/>
        </w:rPr>
        <w:t xml:space="preserve"> carried out a study on the goals and objectives to maximize the value of an acute pain service in perioperative pain management, which highlighted the fundamental needs to meet post-operative pain management, such as routine assessments of pain intensity at rest and with movement. Due to the lack of a standardized technique for assessing POP, a study looking into how nurses in Ghana assessed and treated postoperative pain discovered that some nurses had never used any evaluation tool</w:t>
      </w:r>
      <w:r>
        <w:rPr>
          <w:rFonts w:ascii="Times New Roman" w:hAnsi="Times New Roman" w:cs="Times New Roman"/>
          <w:bCs/>
          <w:sz w:val="24"/>
          <w:szCs w:val="24"/>
          <w:shd w:val="clear" w:color="auto" w:fill="FFFFFF"/>
        </w:rPr>
        <w:fldChar w:fldCharType="begin" w:fldLock="1"/>
      </w:r>
      <w:r>
        <w:rPr>
          <w:rFonts w:ascii="Times New Roman" w:hAnsi="Times New Roman" w:cs="Times New Roman"/>
          <w:bCs/>
          <w:sz w:val="24"/>
          <w:szCs w:val="24"/>
          <w:shd w:val="clear" w:color="auto" w:fill="FFFFFF"/>
        </w:rPr>
        <w:instrText xml:space="preserve">ADDIN CSL_CITATION {"citationItems":[{"id":"ITEM-1","itemData":{"DOI":"10.1155/2019/9091467","ISSN":"2090-1429","abstract":" Background. Postoperative pain remains one of the greatest concerns for patients following surgical procedures. Nurses play an essential role in postoperative pain assessment and management, especially within the first few days after surgery. Objective. The study investigated how nurses in a resource-constraint hospital in Ghana assessed and managed postoperative pain. Methods. This was an explorative qualitative study involving 12 registered nurses practising in the largest referral hospital in Ghana. Data was gathered using a semistructured interview guide. Demographic characteristics of participants were summarized using descriptive statistics. Data were analysed using Kvale’s three phases for analysing qualitative data. First, the entire text was read again to identify meaning units which were then condensed. Second, the condensed texts were read again and interpreted. Finally, the condensed data containing similar meaning were coded and then sorted into subthemes. Results. It was found that some nurses have never used any pain assessment tool due to lack of standard tool for assessing postoperative pain. The majority of nurses reported that managing pain by using medication was the norm especially in the first 24 hours after surgery. Conclusion. Although participants may have some knowledge of assessing and managing postoperative pain, this knowledge was not largely used to manage postoperative pain effectively, partly because of resource constraints. Therefore, there is the need for adequate training and with provision of resources, it is imperative that the use of standardized pain assessment scales could help in the proper assessment and management of postoperative pain in this setting. ","author":[{"dropping-particle":"","family":"Mahama","given":"Faisal","non-dropping-particle":"","parse-names":false,"suffix":""},{"dropping-particle":"","family":"Ninnoni","given":"Jerry P. K.","non-dropping-particle":"","parse-names":false,"suffix":""}],"container-title":"Nursing Research and Practice","id":"ITEM-1","issued":{"date-parts":[["2019"]]},"page":"1-7","title":"Assessment and Management of Postoperative Pain among Nurses at a Resource-Constraint Teaching Hospital in Ghana","type":"article-journal","volume":"2019"},"uris":["http://www.mendeley.com/documents/?uuid=913ba63c-f6cb-436f-815a-cfce17096014"]}],"mendeley":{"formattedCitation":"(Mahama &amp; Ninnoni, 2019)","plainTextFormattedCitation":"(Mahama &amp; Ninnoni, 2019)","previouslyFormattedCitation":"(Mahama &amp; Ninnoni, 2019)"},"properties":{"noteIndex":0},"schema":"https://github.com/citation-style-language/schema/raw/master/csl-citation.json"}</w:instrText>
      </w:r>
      <w:r>
        <w:rPr>
          <w:rFonts w:ascii="Times New Roman" w:hAnsi="Times New Roman" w:cs="Times New Roman"/>
          <w:bCs/>
          <w:sz w:val="24"/>
          <w:szCs w:val="24"/>
          <w:shd w:val="clear" w:color="auto" w:fill="FFFFFF"/>
        </w:rPr>
        <w:fldChar w:fldCharType="separate"/>
      </w:r>
      <w:r>
        <w:rPr>
          <w:rFonts w:ascii="Times New Roman" w:hAnsi="Times New Roman" w:cs="Times New Roman"/>
          <w:bCs/>
          <w:sz w:val="24"/>
          <w:szCs w:val="24"/>
          <w:shd w:val="clear" w:color="auto" w:fill="FFFFFF"/>
        </w:rPr>
        <w:t>(Mahama &amp; Ninnoni, 2019)</w:t>
      </w:r>
      <w:r>
        <w:rPr>
          <w:rFonts w:ascii="Times New Roman" w:hAnsi="Times New Roman" w:cs="Times New Roman"/>
          <w:bCs/>
          <w:sz w:val="24"/>
          <w:szCs w:val="24"/>
          <w:shd w:val="clear" w:color="auto" w:fill="FFFFFF"/>
        </w:rPr>
        <w:fldChar w:fldCharType="end"/>
      </w:r>
      <w:r>
        <w:rPr>
          <w:rFonts w:ascii="Times New Roman" w:hAnsi="Times New Roman" w:cs="Times New Roman"/>
          <w:bCs/>
          <w:sz w:val="24"/>
          <w:szCs w:val="24"/>
          <w:shd w:val="clear" w:color="auto" w:fill="FFFFFF"/>
        </w:rPr>
        <w:t>.</w:t>
      </w:r>
    </w:p>
    <w:p>
      <w:pPr>
        <w:tabs>
          <w:tab w:val="left" w:pos="9360"/>
        </w:tabs>
        <w:autoSpaceDE w:val="0"/>
        <w:autoSpaceDN w:val="0"/>
        <w:adjustRightInd w:val="0"/>
        <w:spacing w:before="100" w:beforeAutospacing="1" w:after="100" w:afterAutospacing="1" w:line="480" w:lineRule="auto"/>
        <w:ind w:left="90" w:firstLine="720"/>
        <w:jc w:val="both"/>
        <w:rPr>
          <w:rFonts w:ascii="Times New Roman" w:hAnsi="Times New Roman" w:cs="Times New Roman"/>
          <w:sz w:val="24"/>
          <w:szCs w:val="24"/>
          <w:shd w:val="clear" w:color="auto" w:fill="FFFFFF"/>
        </w:rPr>
      </w:pPr>
      <w:r>
        <w:rPr>
          <w:rFonts w:ascii="Times New Roman" w:hAnsi="Times New Roman" w:cs="Times New Roman" w:eastAsiaTheme="minorEastAsia"/>
          <w:bCs/>
          <w:sz w:val="24"/>
          <w:szCs w:val="24"/>
        </w:rPr>
        <w:fldChar w:fldCharType="begin" w:fldLock="1"/>
      </w:r>
      <w:r>
        <w:rPr>
          <w:rFonts w:ascii="Times New Roman" w:hAnsi="Times New Roman" w:cs="Times New Roman" w:eastAsiaTheme="minorEastAsia"/>
          <w:bCs/>
          <w:sz w:val="24"/>
          <w:szCs w:val="24"/>
        </w:rPr>
        <w:instrText xml:space="preserve">ADDIN CSL_CITATION {"citationItems":[{"id":"ITEM-1","itemData":{"DOI":"10.1177/2377960818790383","ISSN":"23779608","abstract":"Introduction: There is documented evidence pointing to the fact that there are numerous challenges with postoperative pain (POP) management globally. However, these challenges with POP management are more profound in developing countries. Purpose: The purpose of this study is to examine the knowledge, attitude, and practices of nurses concerning POP management in four selected district hospitals in Ghana. Methodology: A descriptive, cross-sectional survey was employed to evaluate nurse's knowledge, attitude, and practices pertaining to POP management. Multistaged sampling was used to draw the respondents. An adapted version of the Nurses Knowledge and Attitudes Survey Regarding Pain instrument was used to test the knowledge, attitude, and practices of nurses and midwives. Descriptive statistics were used to analyze the data in order to present quantitative descriptions of variables in this study. Results: This study showed that nurses in the four district hospitals had knowledge deficits regarding POP management. Eighty-one representing 48% of nurses had low knowledge on POP management. An overwhelming majority of nurses (97.6%) relied on routinely rendered basic nursing skills to relieve POP and a few used pharmacological interventions. However, nurses had good attitudes toward POP management. Conclusions: POP is ineffectively managed by nurses in district hospitals in Ghana. Nurses and midwives in Ghana need to adhere to best practices in POP management by increasing their theoretical and practical knowledge, so that there will be tangible positive change in POP management in Ghana. Recommendations: Nurses must be empowered through continuous development programs to keep abreast with changing trends that pertain to POP management.","author":[{"dropping-particle":"","family":"Menlah","given":"Awube","non-dropping-particle":"","parse-names":false,"suffix":""},{"dropping-particle":"","family":"Garti","given":"Isabella","non-dropping-particle":"","parse-names":false,"suffix":""},{"dropping-particle":"","family":"Amoo","given":"Sarah Ama","non-dropping-particle":"","parse-names":false,"suffix":""},{"dropping-particle":"","family":"Atakro","given":"Confidence Alorse","non-dropping-particle":"","parse-names":false,"suffix":""},{"dropping-particle":"","family":"Amponsah","given":"Caleb","non-dropping-particle":"","parse-names":false,"suffix":""},{"dropping-particle":"","family":"Agyare","given":"Dorcas Frempomaa","non-dropping-particle":"","parse-names":false,"suffix":""}],"container-title":"SAGE Open Nursing","id":"ITEM-1","issued":{"date-parts":[["2018"]]},"page":"1-11","title":"Knowledge, Attitudes, and Practices of Postoperative Pain Management by Nurses in Selected District Hospitals in Ghana","type":"article-journal","volume":"4"},"uris":["http://www.mendeley.com/documents/?uuid=07b40d8d-551e-4a98-9e1d-ebebaef22123"]}],"mendeley":{"formattedCitation":"(Menlah et al., 2018)","manualFormatting":"Menlah et al. (2018)","plainTextFormattedCitation":"(Menlah et al., 2018)","previouslyFormattedCitation":"(Menlah et al., 2018)"},"properties":{"noteIndex":0},"schema":"https://github.com/citation-style-language/schema/raw/master/csl-citation.json"}</w:instrText>
      </w:r>
      <w:r>
        <w:rPr>
          <w:rFonts w:ascii="Times New Roman" w:hAnsi="Times New Roman" w:cs="Times New Roman" w:eastAsiaTheme="minorEastAsia"/>
          <w:bCs/>
          <w:sz w:val="24"/>
          <w:szCs w:val="24"/>
        </w:rPr>
        <w:fldChar w:fldCharType="separate"/>
      </w:r>
      <w:r>
        <w:rPr>
          <w:rFonts w:ascii="Times New Roman" w:hAnsi="Times New Roman" w:cs="Times New Roman" w:eastAsiaTheme="minorEastAsia"/>
          <w:bCs/>
          <w:sz w:val="24"/>
          <w:szCs w:val="24"/>
        </w:rPr>
        <w:t>Menlah et al. (2018)</w:t>
      </w:r>
      <w:r>
        <w:rPr>
          <w:rFonts w:ascii="Times New Roman" w:hAnsi="Times New Roman" w:cs="Times New Roman" w:eastAsiaTheme="minorEastAsia"/>
          <w:bCs/>
          <w:sz w:val="24"/>
          <w:szCs w:val="24"/>
        </w:rPr>
        <w:fldChar w:fldCharType="end"/>
      </w:r>
      <w:r>
        <w:rPr>
          <w:rFonts w:ascii="Times New Roman" w:hAnsi="Times New Roman" w:cs="Times New Roman" w:eastAsiaTheme="minorEastAsia"/>
          <w:bCs/>
          <w:sz w:val="24"/>
          <w:szCs w:val="24"/>
        </w:rPr>
        <w:t>,</w:t>
      </w:r>
      <w:r>
        <w:rPr>
          <w:rFonts w:ascii="Times New Roman" w:hAnsi="Times New Roman" w:cs="Times New Roman" w:eastAsiaTheme="minorEastAsia"/>
          <w:b/>
          <w:sz w:val="24"/>
          <w:szCs w:val="24"/>
        </w:rPr>
        <w:t xml:space="preserve"> c</w:t>
      </w:r>
      <w:r>
        <w:rPr>
          <w:rFonts w:ascii="Times New Roman" w:hAnsi="Times New Roman" w:cs="Times New Roman" w:eastAsiaTheme="minorEastAsia"/>
          <w:sz w:val="24"/>
          <w:szCs w:val="24"/>
        </w:rPr>
        <w:t xml:space="preserve">onducted a descriptive cross-section survey to investigate </w:t>
      </w:r>
      <w:r>
        <w:rPr>
          <w:rFonts w:ascii="Times New Roman" w:hAnsi="Times New Roman" w:cs="Times New Roman"/>
          <w:sz w:val="24"/>
          <w:szCs w:val="24"/>
          <w:shd w:val="clear" w:color="auto" w:fill="FFFFFF"/>
        </w:rPr>
        <w:t xml:space="preserve">the knowledge, attitude, and practices of nurses concerning POP management and found that 48% of 194 nurses </w:t>
      </w:r>
      <w:r>
        <w:rPr>
          <w:rFonts w:ascii="Times New Roman" w:hAnsi="Times New Roman" w:cs="Times New Roman"/>
          <w:sz w:val="24"/>
          <w:szCs w:val="24"/>
        </w:rPr>
        <w:t>not only failed to implement an adequate nursing intervention that would reduce postoperative pain but also lacked the assessment skills needed to identify the intensity of pain to inform proper management. Besides a lack of knowledge of postoperative assessment, the barrier has been identified in communicating pain assessment data. For instance, in the study to evaluate the knowledge, attitude, and practice of nurses at Wolaita Sodo University Teaching Referral Hospital about postoperative pain treatment</w:t>
      </w:r>
      <w:r>
        <w:rPr>
          <w:rFonts w:ascii="Times New Roman" w:hAnsi="Times New Roman" w:cs="Times New Roman"/>
          <w:sz w:val="24"/>
          <w:szCs w:val="24"/>
          <w:shd w:val="clear" w:color="auto" w:fill="FFFFFF"/>
        </w:rPr>
        <w:t>, poor post-operative pain treatment resulted from the nurses' failure to share the results of the post-operative pain evaluation</w:t>
      </w:r>
      <w:r>
        <w:rPr>
          <w:rFonts w:ascii="Times New Roman" w:hAnsi="Times New Roman" w:cs="Times New Roman" w:eastAsiaTheme="minorEastAsia"/>
          <w:bCs/>
          <w:sz w:val="24"/>
          <w:szCs w:val="24"/>
        </w:rPr>
        <w:fldChar w:fldCharType="begin" w:fldLock="1"/>
      </w:r>
      <w:r>
        <w:rPr>
          <w:rFonts w:ascii="Times New Roman" w:hAnsi="Times New Roman" w:cs="Times New Roman" w:eastAsiaTheme="minorEastAsia"/>
          <w:bCs/>
          <w:sz w:val="24"/>
          <w:szCs w:val="24"/>
        </w:rPr>
        <w:instrText xml:space="preserve">ADDIN CSL_CITATION {"citationItems":[{"id":"ITEM-1","itemData":{"DOI":"10.35248/2155-6148.20.11.958","abstract":"ABSTRACT Background: Patient recovery after surgery is one of the most important health processes in hospital healthcare. Effective pain management requires precise knowledge, attitude, and competent assessment skills in practice. Objective: To assess knowledge, attitude, and practice toward postoperative pain management among Nurses staff of Wolaita Sodo University Teaching referral Hospital from May 13-28, 2019. Method: Across sectional-study design was carried out in Wolaita Sodo University Teaching referral Hospital. All nurses who were provided postoperative patient care were included. Data were collected using a pre-tested and structured questionnaire by trained data collectors and then coded and entered into Epi data 3.5.1 and exported to SPSS version 25 for cleaning and analysis. Descriptive statistics like frequency tables and graphs were used for data presentation. Results: Most of nurses have good knowledge related to post-operative pain management, but they are poor in opioid related side effect. The findings of these studies revealed that there were several obstacles, which leads inadequate postoperative pain management, and there were deficiencies concerning postoperative pain management through providing pharmacological and non-pharmacological pain management. In this study unavailability of sufficient pain medication in the ward, lack of protocol, and poor communication pain assessment were the three highest barriers perceived by nurses in postoperative pain management practice. Conclusion: Inadequate post-operative pain management is the result of several obstacles (barriers) that identified by nurses rather than knowledge, attitude, and practice which includes unavailability of enough pain medication in the ward, lack of specific pain management protocol and guidelines, poor communication pain assessment, and absence of non-pharmacological pain management methods and materials to provide non-pharmacological pain management.","author":[{"dropping-particle":"","family":"Dendir","given":"Getahun","non-dropping-particle":"","parse-names":false,"suffix":""},{"dropping-particle":"","family":"Sintayehu","given":"Ashagre","non-dropping-particle":"","parse-names":false,"suffix":""},{"dropping-particle":"","family":"Anmut","given":"Walellign","non-dropping-particle":"","parse-names":false,"suffix":""}],"container-title":"Anesthesia &amp; Clinical Research","id":"ITEM-1","issue":"January","issued":{"date-parts":[["2020"]]},"page":"1-9","title":"Knowledge , Attitude and Practice of Nurses towards Post-operative Pain Management in Wolaita Sodo University Teaching Referral Hospital , Ethiopia , Institutional Based Cross-sectional Study Journal of Anesthesia &amp; Clinical Research","type":"article-journal"},"uris":["http://www.mendeley.com/documents/?uuid=8ae1f5c7-fff2-4272-aaa9-927a723297b0"]}],"mendeley":{"formattedCitation":"(Dendir et al., 2020)","manualFormatting":"(Dendir, Sintayehu, &amp; Anmut, 2020)","plainTextFormattedCitation":"(Dendir et al., 2020)","previouslyFormattedCitation":"(Dendir et al., 2020)"},"properties":{"noteIndex":0},"schema":"https://github.com/citation-style-language/schema/raw/master/csl-citation.json"}</w:instrText>
      </w:r>
      <w:r>
        <w:rPr>
          <w:rFonts w:ascii="Times New Roman" w:hAnsi="Times New Roman" w:cs="Times New Roman" w:eastAsiaTheme="minorEastAsia"/>
          <w:bCs/>
          <w:sz w:val="24"/>
          <w:szCs w:val="24"/>
        </w:rPr>
        <w:fldChar w:fldCharType="separate"/>
      </w:r>
      <w:r>
        <w:rPr>
          <w:rFonts w:ascii="Times New Roman" w:hAnsi="Times New Roman" w:cs="Times New Roman" w:eastAsiaTheme="minorEastAsia"/>
          <w:bCs/>
          <w:sz w:val="24"/>
          <w:szCs w:val="24"/>
        </w:rPr>
        <w:t>(Dendir, Sintayehu, &amp; Anmut, 2020)</w:t>
      </w:r>
      <w:r>
        <w:rPr>
          <w:rFonts w:ascii="Times New Roman" w:hAnsi="Times New Roman" w:cs="Times New Roman" w:eastAsiaTheme="minorEastAsia"/>
          <w:bCs/>
          <w:sz w:val="24"/>
          <w:szCs w:val="24"/>
        </w:rPr>
        <w:fldChar w:fldCharType="end"/>
      </w:r>
      <w:r>
        <w:rPr>
          <w:rFonts w:ascii="Times New Roman" w:hAnsi="Times New Roman" w:cs="Times New Roman" w:eastAsiaTheme="minorEastAsia"/>
          <w:bCs/>
          <w:sz w:val="24"/>
          <w:szCs w:val="24"/>
        </w:rPr>
        <w:t>.</w:t>
      </w:r>
      <w:r>
        <w:rPr>
          <w:rFonts w:ascii="Times New Roman" w:hAnsi="Times New Roman" w:cs="Times New Roman"/>
          <w:bCs/>
          <w:color w:val="FF0000"/>
          <w:sz w:val="24"/>
          <w:szCs w:val="24"/>
          <w:shd w:val="clear" w:color="auto" w:fill="FFFFFF"/>
        </w:rPr>
        <w:t xml:space="preserve"> </w:t>
      </w:r>
      <w:r>
        <w:rPr>
          <w:rFonts w:ascii="Times New Roman" w:hAnsi="Times New Roman" w:cs="Times New Roman"/>
          <w:sz w:val="24"/>
          <w:szCs w:val="24"/>
          <w:shd w:val="clear" w:color="auto" w:fill="FFFFFF"/>
        </w:rPr>
        <w:t xml:space="preserve">There is a need for endless education on pain assessment to increase nurse’s knowledge and enhance their practice regarding the assessment and management of post-operative pain </w:t>
      </w:r>
      <w:r>
        <w:rPr>
          <w:rFonts w:ascii="Times New Roman" w:hAnsi="Times New Roman" w:cs="Times New Roman"/>
          <w:bCs/>
          <w:sz w:val="24"/>
          <w:szCs w:val="24"/>
          <w:shd w:val="clear" w:color="auto" w:fill="FFFFFF"/>
        </w:rPr>
        <w:fldChar w:fldCharType="begin" w:fldLock="1"/>
      </w:r>
      <w:r>
        <w:rPr>
          <w:rFonts w:ascii="Times New Roman" w:hAnsi="Times New Roman" w:cs="Times New Roman"/>
          <w:bCs/>
          <w:sz w:val="24"/>
          <w:szCs w:val="24"/>
          <w:shd w:val="clear" w:color="auto" w:fill="FFFFFF"/>
        </w:rPr>
        <w:instrText xml:space="preserve">ADDIN CSL_CITATION {"citationItems":[{"id":"ITEM-1","itemData":{"DOI":"10.17712/nsj.2015.2.20140546","ISSN":"13196138","PMID":"25864065","abstract":"Objective: To present data on knowledge and attitudes toward pain assessment among health care providers in Almadinah Almunawwarah, Saudi Arabia. Methods: This exploratory study required at least 100 participants to attain an effect size of 0.2 or larger. A convenience sample was recruited from the major hospitals in Almadinah Almunawwarah, Saudi Arabia; King Fahad Hospital, Ohud Hospital, Alansar Hospital, Almeqat Hospital, and the Maternity Hospital. Data collection occurred between January and April 2014. Knowledge of pain assessment was examined by administering the Knowledge and Attitudes Survey Regarding Pain. Results: Data from 105 participants was collected. Seventy-three participants scored 44% or below (69.5%), and 32 participants scored 45% and above (30.5%). Additionally, only 6 participants (5.7%) scored above 60%. There were significant differences between male and female scores (p=0.05), physicians’ and nurses’ scores (p=0.001), and level of education (p=0.009). There were no significant differences in the passing scores across means of nationality, the department where participants worked, years of experience, and age of participants. Conclusion: There is a deficit in pain assessment knowledge, and pain management in the study group. Continuous education on pain assessment is required to increase the health care providers’ knowledge, and enhance their practices regarding pain assessment and treatment.","author":[{"dropping-particle":"","family":"Al-Quliti","given":"Khalid W.","non-dropping-particle":"","parse-names":false,"suffix":""},{"dropping-particle":"","family":"Alamri","given":"Majed S.","non-dropping-particle":"","parse-names":false,"suffix":""}],"container-title":"Neurosciences","id":"ITEM-1","issue":"2","issued":{"date-parts":[["2015"]]},"page":"131-136","title":"Knowledge, attitudes, and practices of health care providers in Almadinah Almunawwarah, Saudi Arabia","type":"article-journal","volume":"20"},"uris":["http://www.mendeley.com/documents/?uuid=2230e7ec-ed87-4711-985e-53a4e8b1e266"]}],"mendeley":{"formattedCitation":"(Al-Quliti &amp; Alamri, 2015)","plainTextFormattedCitation":"(Al-Quliti &amp; Alamri, 2015)","previouslyFormattedCitation":"(Al-Quliti &amp; Alamri, 2015)"},"properties":{"noteIndex":0},"schema":"https://github.com/citation-style-language/schema/raw/master/csl-citation.json"}</w:instrText>
      </w:r>
      <w:r>
        <w:rPr>
          <w:rFonts w:ascii="Times New Roman" w:hAnsi="Times New Roman" w:cs="Times New Roman"/>
          <w:bCs/>
          <w:sz w:val="24"/>
          <w:szCs w:val="24"/>
          <w:shd w:val="clear" w:color="auto" w:fill="FFFFFF"/>
        </w:rPr>
        <w:fldChar w:fldCharType="separate"/>
      </w:r>
      <w:r>
        <w:rPr>
          <w:rFonts w:ascii="Times New Roman" w:hAnsi="Times New Roman" w:cs="Times New Roman"/>
          <w:bCs/>
          <w:sz w:val="24"/>
          <w:szCs w:val="24"/>
          <w:shd w:val="clear" w:color="auto" w:fill="FFFFFF"/>
        </w:rPr>
        <w:t>(Al-Quliti &amp; Alamri, 2015</w:t>
      </w:r>
      <w:r>
        <w:rPr>
          <w:rFonts w:ascii="Times New Roman" w:hAnsi="Times New Roman" w:cs="Times New Roman"/>
          <w:bCs/>
          <w:sz w:val="24"/>
          <w:szCs w:val="24"/>
          <w:shd w:val="clear" w:color="auto" w:fill="FFFFFF"/>
        </w:rPr>
        <w:fldChar w:fldCharType="end"/>
      </w:r>
      <w:bookmarkStart w:id="18" w:name="_Hlk121400568"/>
      <w:r>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fldChar w:fldCharType="begin" w:fldLock="1"/>
      </w:r>
      <w:r>
        <w:rPr>
          <w:rFonts w:ascii="Times New Roman" w:hAnsi="Times New Roman" w:cs="Times New Roman"/>
          <w:bCs/>
          <w:sz w:val="24"/>
          <w:szCs w:val="24"/>
          <w:shd w:val="clear" w:color="auto" w:fill="FFFFFF"/>
        </w:rPr>
        <w:instrText xml:space="preserve">ADDIN CSL_CITATION {"citationItems":[{"id":"ITEM-1","itemData":{"DOI":"10.2147/prom.s234521","ISSN":"1179-271X","abstract":"Background: Pain management is one part of management in the postoperative period. The prevalence of moderate to severe postoperative pain and its functional interference is high in Ethiopian patients. In this study we aimed (1) to assess nurses' knowledge and attitudes regarding post-operative pain management; (2) to identify the factors of nurses' knowledge and attitudes. Method: A cross-sectional multicenter study was conducted. All nurses working in Amhara region referral hospitals were involved in the study. The Nurses' Knowledge and Attitudes Survey Regarding Pain (NKASRP) was used to measure the nurses' pain management knowledge and attitudes. Bivariable and multivariable logistic regression was used to identify factors associated with knowledge and attitude. Results: A total of 433 nurses were included. Of the total respondents, 90.6% of them had a bachelor's degree with work experience of between 1 to 5 years (58.5%). Only 76 (19.2%) participants got access to read journals and 66 (16.7%) had taken training regarding postoperative pain management. The results showed that 56.5% [95% CI= (51.6-61.3)] respondents had adequate knowledge and 8.9% [95% CI= (6.1-11.6)] of them had positive attitudes towards POP management. Higher level of education [AOR=8.2; CI= (2.51-26.83)], getting access to read journals [AOR =1.83; CI= (1.01-3.30)], and taking POP management training [AOR=8.63; CI= (3.67-20.28)] were statistically associated with adequate knowledge. Similarly, positive attitude towards postoperative pain management was associated with taking POP management training, available of pain management course in the curriculum, and getting access to read. Conclusion: Although more than half of nurses in the study area had adequate knowledge towards POP management, only a small number had a positive attitude. Taking POP management training and getting access to read journals were significantly associated with good knowledge and attitude towards POP management; therefore, regular in-service training and getting accessing reading materials (such as journals or articles) are recommended to enhance quality service to patients.","author":[{"dropping-particle":"","family":"Dessie","given":"Mengesha","non-dropping-particle":"","parse-names":false,"suffix":""},{"dropping-particle":"","family":"Asichale","given":"Agmuas","non-dropping-particle":"","parse-names":false,"suffix":""},{"dropping-particle":"","family":"Belayneh","given":"Tadesse","non-dropping-particle":"","parse-names":false,"suffix":""},{"dropping-particle":"","family":"Enyew","given":"Henos","non-dropping-particle":"","parse-names":false,"suffix":""},{"dropping-particle":"","family":"Hailekiros","given":"Amare","non-dropping-particle":"","parse-names":false,"suffix":""}],"container-title":"Patient Related Outcome Measures","id":"ITEM-1","issued":{"date-parts":[["2019"]]},"page":"395-403","title":"&lt;p&gt;Knowledge and Attitudes of Ethiopian Nursing Staff Regarding Post-Operative Pain Management: A Cross-Sectional Multicenter Study&lt;/p&gt;","type":"article-journal","volume":"Volume 10"},"uris":["http://www.mendeley.com/documents/?uuid=d0d3c093-8048-4b6c-9c49-d072ebc670dc"]}],"mendeley":{"formattedCitation":"(Dessie et al., 2019)","manualFormatting":"(Dessie, Asichale, Belayneh, Enyew, and Hailekiros 2019)","plainTextFormattedCitation":"(Dessie et al., 2019)","previouslyFormattedCitation":"(Dessie et al., 2019)"},"properties":{"noteIndex":0},"schema":"https://github.com/citation-style-language/schema/raw/master/csl-citation.json"}</w:instrText>
      </w:r>
      <w:r>
        <w:rPr>
          <w:rFonts w:ascii="Times New Roman" w:hAnsi="Times New Roman" w:cs="Times New Roman"/>
          <w:bCs/>
          <w:sz w:val="24"/>
          <w:szCs w:val="24"/>
          <w:shd w:val="clear" w:color="auto" w:fill="FFFFFF"/>
        </w:rPr>
        <w:fldChar w:fldCharType="separate"/>
      </w:r>
      <w:r>
        <w:rPr>
          <w:rFonts w:ascii="Times New Roman" w:hAnsi="Times New Roman" w:cs="Times New Roman"/>
          <w:bCs/>
          <w:sz w:val="24"/>
          <w:szCs w:val="24"/>
          <w:shd w:val="clear" w:color="auto" w:fill="FFFFFF"/>
        </w:rPr>
        <w:t>Dessie, Asichale, Belayneh, Enyew, and Hailekiros 2019</w:t>
      </w:r>
      <w:r>
        <w:rPr>
          <w:rFonts w:ascii="Times New Roman" w:hAnsi="Times New Roman" w:cs="Times New Roman"/>
          <w:bCs/>
          <w:sz w:val="24"/>
          <w:szCs w:val="24"/>
          <w:shd w:val="clear" w:color="auto" w:fill="FFFFFF"/>
        </w:rPr>
        <w:fldChar w:fldCharType="end"/>
      </w:r>
      <w:r>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fldChar w:fldCharType="begin" w:fldLock="1"/>
      </w:r>
      <w:r>
        <w:rPr>
          <w:rFonts w:ascii="Times New Roman" w:hAnsi="Times New Roman" w:cs="Times New Roman"/>
          <w:bCs/>
          <w:sz w:val="24"/>
          <w:szCs w:val="24"/>
          <w:shd w:val="clear" w:color="auto" w:fill="FFFFFF"/>
        </w:rPr>
        <w:instrText xml:space="preserve">ADDIN CSL_CITATION {"citationItems":[{"id":"ITEM-1","itemData":{"DOI":"10.4314/thrb.v16i1.7","ISSN":"18216404","PMID":"26867272","abstract":"Inadequately controlled postoperative pain (POP) subjects individuals to complications which may be fatal or leading to prolonged hospital stay. Complications from inadequately controlled POP may alleviate the existing shortage of hospital human resource for health in health facilities in developing countries. The burden and challenges of POP management at health facilities in Tanzania is not known. This study was therefore carried out to evaluate postoperative pain management and patient satisfaction with care given at Kilimanjaro Christian Medical Centre (KCMC). This descriptive prospective hospital based study, was conducted at the Kilimanjaro Christian Medical Centre in Moshi, Tanzania from August 2011 to March 2012. POP and patients' satisfaction with pain relief scores were assessed using pain and satisfaction numerical rating scales. Pain assessment was done at 24 hours and 48 hours after operation. Satisfaction was assessed on 48 hours post surgery. All adult patient aged 18 years and above whom were operated in general surgery ward, KCMC and accepted by signing consent were involved in the study. Patients suffering from nervous system were excluded from the study. A total number of 124 patients were recruited and participated in the study. Sixty-five (52.4%) were males and 59 (47.6%) females. Mean age (SD) years 40.9 ± 15.4. The largest percentage of individuals had mild pain both at rest (45.2%) and during movement (44.4%). Patients whose analgesia was administered intravenously were more likely to be satisfied with POP management than those given intramuscular analgesics (P= 0.028). Analgesia used in combination increased significantly the proportion of pain free individuals 48 hours postoperative compared to 24 hours postoperative (P= 0.003). In conclusion, the postoperative pain management is still a challenge in our centre as nearly half of the patient had mild pain in the first 48 hours post surgery.","author":[{"dropping-particle":"","family":"Masigati","given":"Herbert G.","non-dropping-particle":"","parse-names":false,"suffix":""},{"dropping-particle":"","family":"Chilonga","given":"Kondo S.","non-dropping-particle":"","parse-names":false,"suffix":""}],"container-title":"Tanzania Journal of Health Research","id":"ITEM-1","issue":"1","issued":{"date-parts":[["2014"]]},"title":"Postoperative pain management outcomes among adults treated at a tertiary hospital in Moshi, Tanzania","type":"article-journal","volume":"16"},"uris":["http://www.mendeley.com/documents/?uuid=b7f7f79a-e874-4a8b-bae8-88a639bd37eb"]}],"mendeley":{"formattedCitation":"(Masigati &amp; Chilonga, 2014)","plainTextFormattedCitation":"(Masigati &amp; Chilonga, 2014)","previouslyFormattedCitation":"(Masigati &amp; Chilonga, 2014)"},"properties":{"noteIndex":0},"schema":"https://github.com/citation-style-language/schema/raw/master/csl-citation.json"}</w:instrText>
      </w:r>
      <w:r>
        <w:rPr>
          <w:rFonts w:ascii="Times New Roman" w:hAnsi="Times New Roman" w:cs="Times New Roman"/>
          <w:bCs/>
          <w:sz w:val="24"/>
          <w:szCs w:val="24"/>
          <w:shd w:val="clear" w:color="auto" w:fill="FFFFFF"/>
        </w:rPr>
        <w:fldChar w:fldCharType="separate"/>
      </w:r>
      <w:r>
        <w:rPr>
          <w:rFonts w:ascii="Times New Roman" w:hAnsi="Times New Roman" w:cs="Times New Roman"/>
          <w:bCs/>
          <w:sz w:val="24"/>
          <w:szCs w:val="24"/>
          <w:shd w:val="clear" w:color="auto" w:fill="FFFFFF"/>
        </w:rPr>
        <w:t>Masigati &amp; Chilonga, 2014)</w:t>
      </w:r>
      <w:r>
        <w:rPr>
          <w:rFonts w:ascii="Times New Roman" w:hAnsi="Times New Roman" w:cs="Times New Roman"/>
          <w:bCs/>
          <w:sz w:val="24"/>
          <w:szCs w:val="24"/>
          <w:shd w:val="clear" w:color="auto" w:fill="FFFFFF"/>
        </w:rPr>
        <w:fldChar w:fldCharType="end"/>
      </w:r>
      <w:bookmarkEnd w:id="18"/>
      <w:r>
        <w:rPr>
          <w:rFonts w:ascii="Times New Roman" w:hAnsi="Times New Roman" w:cs="Times New Roman"/>
          <w:sz w:val="24"/>
          <w:szCs w:val="24"/>
          <w:shd w:val="clear" w:color="auto" w:fill="FFFFFF"/>
        </w:rPr>
        <w:t>. Therefore, it’s necessary to conduct a study to examine the nurse’s knowledge, attitude, and practice towards post-operative pain management.</w:t>
      </w:r>
    </w:p>
    <w:p>
      <w:pPr>
        <w:pStyle w:val="3"/>
        <w:tabs>
          <w:tab w:val="left" w:pos="9360"/>
        </w:tabs>
        <w:jc w:val="both"/>
        <w:rPr>
          <w:rFonts w:ascii="Times New Roman" w:hAnsi="Times New Roman" w:cs="Times New Roman"/>
          <w:b w:val="0"/>
          <w:bCs/>
          <w:color w:val="auto"/>
          <w:sz w:val="24"/>
          <w:szCs w:val="24"/>
        </w:rPr>
      </w:pPr>
      <w:bookmarkStart w:id="19" w:name="_Toc134604127"/>
      <w:bookmarkStart w:id="20" w:name="_Toc142753377"/>
      <w:r>
        <w:rPr>
          <w:rFonts w:ascii="Times New Roman" w:hAnsi="Times New Roman" w:cs="Times New Roman"/>
          <w:bCs/>
          <w:color w:val="auto"/>
          <w:sz w:val="24"/>
          <w:szCs w:val="24"/>
        </w:rPr>
        <w:t>Statement of the Problem</w:t>
      </w:r>
      <w:bookmarkEnd w:id="19"/>
      <w:bookmarkEnd w:id="20"/>
      <w:r>
        <w:rPr>
          <w:rFonts w:ascii="Times New Roman" w:hAnsi="Times New Roman" w:cs="Times New Roman"/>
          <w:bCs/>
          <w:color w:val="auto"/>
          <w:sz w:val="24"/>
          <w:szCs w:val="24"/>
        </w:rPr>
        <w:t xml:space="preserve"> </w:t>
      </w:r>
    </w:p>
    <w:p>
      <w:pPr>
        <w:tabs>
          <w:tab w:val="left" w:pos="9360"/>
        </w:tabs>
        <w:spacing w:before="100" w:beforeAutospacing="1" w:after="100" w:afterAutospacing="1" w:line="480" w:lineRule="auto"/>
        <w:ind w:left="90" w:firstLine="720"/>
        <w:jc w:val="both"/>
        <w:rPr>
          <w:rFonts w:ascii="Times New Roman" w:hAnsi="Times New Roman" w:eastAsia="MS Mincho" w:cs="Times New Roman"/>
          <w:sz w:val="24"/>
          <w:szCs w:val="24"/>
          <w:shd w:val="clear" w:color="auto" w:fill="FFFFFF"/>
          <w:lang w:eastAsia="ja-JP"/>
        </w:rPr>
      </w:pPr>
      <w:bookmarkStart w:id="21" w:name="_Hlk132789981"/>
      <w:r>
        <w:rPr>
          <w:rFonts w:ascii="Times New Roman" w:hAnsi="Times New Roman" w:eastAsia="MS Mincho" w:cs="Times New Roman"/>
          <w:sz w:val="24"/>
          <w:szCs w:val="24"/>
          <w:shd w:val="clear" w:color="auto" w:fill="FFFFFF"/>
          <w:lang w:eastAsia="ja-JP"/>
        </w:rPr>
        <w:t xml:space="preserve">Following surgery, post-operative care focuses on addressing the patient's physical, functional, and psychological needs because unmanaged pain can have a severe impact on the patient's mood and physiological processes. In the first 24 hours, pain is typically treated with medication, non-medication approaches, and assessment. Regardless of the interventions done, insufficient pain management continues to bedevil post-operative patients because there is minimal pain assessment reported, and mostly undocumented. Once done, it is not organized as it would be when guided by the pain assessment scale. Therefore, this calls for application of the </w:t>
      </w:r>
      <w:r>
        <w:rPr>
          <w:rFonts w:ascii="Times New Roman" w:hAnsi="Times New Roman" w:eastAsia="MS Mincho" w:cs="Times New Roman"/>
          <w:sz w:val="24"/>
          <w:szCs w:val="24"/>
          <w:lang w:eastAsia="ja-JP"/>
        </w:rPr>
        <w:t xml:space="preserve">pain assessment in postoperative pain management. </w:t>
      </w:r>
    </w:p>
    <w:bookmarkEnd w:id="21"/>
    <w:p>
      <w:pPr>
        <w:pStyle w:val="3"/>
        <w:rPr>
          <w:rFonts w:ascii="Times New Roman" w:hAnsi="Times New Roman" w:cs="Times New Roman"/>
          <w:b w:val="0"/>
          <w:sz w:val="24"/>
          <w:szCs w:val="24"/>
        </w:rPr>
      </w:pPr>
      <w:bookmarkStart w:id="22" w:name="_Toc142753378"/>
      <w:bookmarkStart w:id="23" w:name="_Toc134604128"/>
      <w:r>
        <w:rPr>
          <w:rFonts w:ascii="Times New Roman" w:hAnsi="Times New Roman" w:cs="Times New Roman"/>
          <w:sz w:val="24"/>
          <w:szCs w:val="24"/>
        </w:rPr>
        <w:t>Purpose of the Study</w:t>
      </w:r>
      <w:bookmarkEnd w:id="22"/>
      <w:bookmarkEnd w:id="23"/>
    </w:p>
    <w:p>
      <w:pPr>
        <w:spacing w:before="100" w:beforeAutospacing="1" w:after="100" w:afterAutospacing="1" w:line="480" w:lineRule="auto"/>
        <w:ind w:right="90"/>
        <w:jc w:val="both"/>
        <w:rPr>
          <w:rFonts w:ascii="Times New Roman" w:hAnsi="Times New Roman" w:cs="Times New Roman"/>
          <w:sz w:val="24"/>
          <w:szCs w:val="24"/>
        </w:rPr>
      </w:pPr>
      <w:r>
        <w:rPr>
          <w:rFonts w:ascii="Times New Roman" w:hAnsi="Times New Roman" w:cs="Times New Roman"/>
          <w:sz w:val="24"/>
          <w:szCs w:val="24"/>
        </w:rPr>
        <w:t>The study was conducted to examine the effects of integrating the pain assessment scale to the nurse’s knowledge, attitude, and practices toward the management of post-operative pain in one of the private hospitals in Uganda.</w:t>
      </w:r>
    </w:p>
    <w:p>
      <w:pPr>
        <w:pStyle w:val="3"/>
        <w:rPr>
          <w:rFonts w:ascii="Times New Roman" w:hAnsi="Times New Roman" w:cs="Times New Roman"/>
          <w:b w:val="0"/>
          <w:sz w:val="24"/>
          <w:szCs w:val="24"/>
        </w:rPr>
      </w:pPr>
      <w:bookmarkStart w:id="24" w:name="_Toc134604129"/>
      <w:bookmarkStart w:id="25" w:name="_Toc142753379"/>
      <w:r>
        <w:rPr>
          <w:rFonts w:ascii="Times New Roman" w:hAnsi="Times New Roman" w:cs="Times New Roman"/>
          <w:sz w:val="24"/>
          <w:szCs w:val="24"/>
        </w:rPr>
        <w:t>Research Objectives</w:t>
      </w:r>
      <w:bookmarkEnd w:id="24"/>
      <w:bookmarkEnd w:id="25"/>
      <w:r>
        <w:rPr>
          <w:rFonts w:ascii="Times New Roman" w:hAnsi="Times New Roman" w:cs="Times New Roman"/>
          <w:sz w:val="24"/>
          <w:szCs w:val="24"/>
        </w:rPr>
        <w:t xml:space="preserve"> </w:t>
      </w:r>
    </w:p>
    <w:p>
      <w:pPr>
        <w:pStyle w:val="24"/>
        <w:numPr>
          <w:ilvl w:val="0"/>
          <w:numId w:val="1"/>
        </w:numPr>
        <w:tabs>
          <w:tab w:val="left" w:pos="9360"/>
        </w:tabs>
        <w:spacing w:before="100" w:beforeAutospacing="1" w:after="100" w:afterAutospacing="1" w:line="480" w:lineRule="auto"/>
        <w:jc w:val="both"/>
      </w:pPr>
      <w:r>
        <w:t>To identify the effect of integrating the pain assessment scale on nurse’s knowledge towards the management of post-operative pain.</w:t>
      </w:r>
    </w:p>
    <w:p>
      <w:pPr>
        <w:pStyle w:val="24"/>
        <w:numPr>
          <w:ilvl w:val="0"/>
          <w:numId w:val="1"/>
        </w:numPr>
        <w:tabs>
          <w:tab w:val="left" w:pos="9360"/>
        </w:tabs>
        <w:spacing w:before="100" w:beforeAutospacing="1" w:after="100" w:afterAutospacing="1" w:line="480" w:lineRule="auto"/>
        <w:jc w:val="both"/>
      </w:pPr>
      <w:r>
        <w:t>To determine the effect of integration of the pain assessment scale to the nurses’ attitude towards post-operative pain management.</w:t>
      </w:r>
    </w:p>
    <w:p>
      <w:pPr>
        <w:pStyle w:val="24"/>
        <w:numPr>
          <w:ilvl w:val="0"/>
          <w:numId w:val="1"/>
        </w:numPr>
        <w:tabs>
          <w:tab w:val="left" w:pos="9360"/>
        </w:tabs>
        <w:spacing w:before="100" w:beforeAutospacing="1" w:after="100" w:afterAutospacing="1" w:line="480" w:lineRule="auto"/>
        <w:jc w:val="both"/>
      </w:pPr>
      <w:r>
        <w:t xml:space="preserve">To describe the effect of integrating the pain assessment scale on nurses’ practice in the management of post-operative pain. </w:t>
      </w:r>
    </w:p>
    <w:p>
      <w:pPr>
        <w:pStyle w:val="3"/>
        <w:rPr>
          <w:rFonts w:ascii="Times New Roman" w:hAnsi="Times New Roman" w:cs="Times New Roman"/>
          <w:b w:val="0"/>
          <w:sz w:val="24"/>
          <w:szCs w:val="24"/>
        </w:rPr>
      </w:pPr>
      <w:bookmarkStart w:id="26" w:name="_Toc134604130"/>
      <w:bookmarkStart w:id="27" w:name="_Toc142753380"/>
      <w:r>
        <w:rPr>
          <w:rFonts w:ascii="Times New Roman" w:hAnsi="Times New Roman" w:cs="Times New Roman"/>
          <w:sz w:val="24"/>
          <w:szCs w:val="24"/>
        </w:rPr>
        <w:t>Research Question</w:t>
      </w:r>
      <w:bookmarkEnd w:id="26"/>
      <w:bookmarkEnd w:id="27"/>
    </w:p>
    <w:p>
      <w:pPr>
        <w:spacing w:before="100" w:beforeAutospacing="1" w:after="100" w:afterAutospacing="1" w:line="480" w:lineRule="auto"/>
        <w:ind w:right="90" w:firstLine="720"/>
        <w:jc w:val="both"/>
        <w:rPr>
          <w:rFonts w:ascii="Times New Roman" w:hAnsi="Times New Roman" w:cs="Times New Roman"/>
          <w:sz w:val="24"/>
          <w:szCs w:val="24"/>
        </w:rPr>
      </w:pPr>
      <w:r>
        <w:rPr>
          <w:rFonts w:ascii="Times New Roman" w:hAnsi="Times New Roman" w:cs="Times New Roman"/>
          <w:sz w:val="24"/>
          <w:szCs w:val="24"/>
        </w:rPr>
        <w:t>What is the effect of integrating the pain assessment scale on nurses’ knowledge, attitude, and practice of managing postoperative pain in patients in the surgical ward?</w:t>
      </w:r>
    </w:p>
    <w:p>
      <w:pPr>
        <w:pStyle w:val="3"/>
        <w:rPr>
          <w:rFonts w:ascii="Times New Roman" w:hAnsi="Times New Roman" w:cs="Times New Roman"/>
          <w:b w:val="0"/>
          <w:sz w:val="24"/>
          <w:szCs w:val="24"/>
        </w:rPr>
      </w:pPr>
      <w:bookmarkStart w:id="28" w:name="_Toc142753381"/>
      <w:r>
        <w:rPr>
          <w:rFonts w:ascii="Times New Roman" w:hAnsi="Times New Roman" w:cs="Times New Roman"/>
          <w:sz w:val="24"/>
          <w:szCs w:val="24"/>
        </w:rPr>
        <w:t>Scope of study</w:t>
      </w:r>
      <w:bookmarkEnd w:id="28"/>
      <w:r>
        <w:rPr>
          <w:rFonts w:ascii="Times New Roman" w:hAnsi="Times New Roman" w:cs="Times New Roman"/>
          <w:sz w:val="24"/>
          <w:szCs w:val="24"/>
        </w:rPr>
        <w:t xml:space="preserve"> </w:t>
      </w:r>
    </w:p>
    <w:p>
      <w:pPr>
        <w:spacing w:before="100" w:beforeAutospacing="1" w:after="100" w:afterAutospacing="1" w:line="480" w:lineRule="auto"/>
        <w:ind w:right="90" w:firstLine="720"/>
        <w:jc w:val="both"/>
        <w:rPr>
          <w:rFonts w:ascii="Times New Roman" w:hAnsi="Times New Roman" w:cs="Times New Roman"/>
          <w:sz w:val="24"/>
          <w:szCs w:val="24"/>
        </w:rPr>
      </w:pPr>
      <w:r>
        <w:rPr>
          <w:rFonts w:ascii="Times New Roman" w:hAnsi="Times New Roman" w:cs="Times New Roman"/>
          <w:sz w:val="24"/>
          <w:szCs w:val="24"/>
        </w:rPr>
        <w:t>A study on the impact of integrating the pain assessment scale on nurses' knowledge, attitudes, and practices regarding post-operative pain care in the surgical wards was conducted at Mengo Hospital in Kampala, Uganda. The study is going to explore the nurse’s knowledge, attitude, and practice toward post-operative management in the surgical ward. With 61 participants, the study's sample size was limited to nurses who only worked on surgical wards. The necessary data was gathered over the course of four months.</w:t>
      </w:r>
    </w:p>
    <w:p>
      <w:pPr>
        <w:pStyle w:val="3"/>
        <w:rPr>
          <w:rFonts w:ascii="Times New Roman" w:hAnsi="Times New Roman" w:cs="Times New Roman"/>
          <w:b w:val="0"/>
          <w:sz w:val="24"/>
          <w:szCs w:val="24"/>
        </w:rPr>
      </w:pPr>
      <w:bookmarkStart w:id="29" w:name="_Toc142753382"/>
      <w:r>
        <w:rPr>
          <w:rFonts w:ascii="Times New Roman" w:hAnsi="Times New Roman" w:cs="Times New Roman"/>
          <w:sz w:val="24"/>
          <w:szCs w:val="24"/>
        </w:rPr>
        <w:t>Justification</w:t>
      </w:r>
      <w:bookmarkEnd w:id="29"/>
      <w:r>
        <w:rPr>
          <w:rFonts w:ascii="Times New Roman" w:hAnsi="Times New Roman" w:cs="Times New Roman"/>
          <w:sz w:val="24"/>
          <w:szCs w:val="24"/>
        </w:rPr>
        <w:t xml:space="preserve"> </w:t>
      </w:r>
    </w:p>
    <w:p>
      <w:pPr>
        <w:spacing w:before="100" w:beforeAutospacing="1" w:after="100" w:afterAutospacing="1" w:line="480" w:lineRule="auto"/>
        <w:ind w:right="90" w:firstLine="720"/>
        <w:jc w:val="both"/>
        <w:rPr>
          <w:rFonts w:ascii="Times New Roman" w:hAnsi="Times New Roman" w:cs="Times New Roman"/>
          <w:sz w:val="24"/>
          <w:szCs w:val="24"/>
        </w:rPr>
      </w:pPr>
      <w:r>
        <w:rPr>
          <w:rFonts w:ascii="Times New Roman" w:hAnsi="Times New Roman" w:cs="Times New Roman"/>
          <w:sz w:val="24"/>
          <w:szCs w:val="24"/>
        </w:rPr>
        <w:t>Post operative pain is an exceptional subjective experience and its management has been an issue in the attention of Nursing research in the recent past ten years. Pain assessment scales were introduced to allow nurses and physicians to quantify the individual experience in a way that would allow them effectively to manage post operative pain.</w:t>
      </w:r>
    </w:p>
    <w:p>
      <w:pPr>
        <w:tabs>
          <w:tab w:val="left" w:pos="9360"/>
        </w:tabs>
        <w:spacing w:before="100" w:beforeAutospacing="1" w:after="100" w:afterAutospacing="1" w:line="480" w:lineRule="auto"/>
        <w:ind w:left="90" w:firstLine="720"/>
        <w:jc w:val="both"/>
        <w:rPr>
          <w:rFonts w:ascii="Times New Roman" w:hAnsi="Times New Roman" w:eastAsia="MS Mincho" w:cs="Times New Roman"/>
          <w:sz w:val="24"/>
          <w:szCs w:val="24"/>
          <w:lang w:eastAsia="ja-JP"/>
        </w:rPr>
      </w:pPr>
      <w:r>
        <w:rPr>
          <w:rFonts w:ascii="Times New Roman" w:hAnsi="Times New Roman" w:cs="Times New Roman"/>
          <w:sz w:val="24"/>
          <w:szCs w:val="24"/>
        </w:rPr>
        <w:t xml:space="preserve">Post operative </w:t>
      </w:r>
      <w:r>
        <w:rPr>
          <w:rFonts w:ascii="Times New Roman" w:hAnsi="Times New Roman" w:eastAsia="MS Mincho" w:cs="Times New Roman"/>
          <w:sz w:val="24"/>
          <w:szCs w:val="24"/>
          <w:shd w:val="clear" w:color="auto" w:fill="FFFFFF"/>
          <w:lang w:eastAsia="ja-JP"/>
        </w:rPr>
        <w:t xml:space="preserve">pain is managed pharmacologically, non-pharmacologically and through assessment. Notwithstanding the interventions done, inadequate pain management continues to torment post operative patients because there is minimal pain assessment reported, and primarily not recorded. Where applied, isn’t perfect as it would be when guided by the pain assessment scale. It was thought worthwhile to conduct the study and carryout an educational intervention on the application of the </w:t>
      </w:r>
      <w:r>
        <w:rPr>
          <w:rFonts w:ascii="Times New Roman" w:hAnsi="Times New Roman" w:eastAsia="MS Mincho" w:cs="Times New Roman"/>
          <w:sz w:val="24"/>
          <w:szCs w:val="24"/>
          <w:lang w:eastAsia="ja-JP"/>
        </w:rPr>
        <w:t xml:space="preserve">pain assessment scale towards post operative pain management on the surgical wards in Mengo hospital thus ensuring good health patient outcomes. </w:t>
      </w:r>
    </w:p>
    <w:p>
      <w:pPr>
        <w:pStyle w:val="3"/>
        <w:rPr>
          <w:rFonts w:ascii="Times New Roman" w:hAnsi="Times New Roman" w:cs="Times New Roman"/>
          <w:b w:val="0"/>
          <w:sz w:val="24"/>
          <w:szCs w:val="24"/>
        </w:rPr>
      </w:pPr>
      <w:bookmarkStart w:id="30" w:name="_Toc142753383"/>
      <w:bookmarkStart w:id="31" w:name="_Toc134604131"/>
      <w:r>
        <w:rPr>
          <w:rFonts w:ascii="Times New Roman" w:hAnsi="Times New Roman" w:cs="Times New Roman"/>
          <w:sz w:val="24"/>
          <w:szCs w:val="24"/>
        </w:rPr>
        <w:t>Significance of the Study</w:t>
      </w:r>
      <w:bookmarkEnd w:id="30"/>
      <w:bookmarkEnd w:id="31"/>
      <w:r>
        <w:rPr>
          <w:rFonts w:ascii="Times New Roman" w:hAnsi="Times New Roman" w:cs="Times New Roman"/>
          <w:sz w:val="24"/>
          <w:szCs w:val="24"/>
        </w:rPr>
        <w:t xml:space="preserve"> </w:t>
      </w:r>
    </w:p>
    <w:p>
      <w:pPr>
        <w:pStyle w:val="4"/>
        <w:spacing w:line="480" w:lineRule="auto"/>
        <w:ind w:right="720"/>
        <w:rPr>
          <w:rFonts w:ascii="Times New Roman" w:hAnsi="Times New Roman" w:cs="Times New Roman" w:eastAsiaTheme="minorEastAsia"/>
          <w:b/>
          <w:bCs/>
        </w:rPr>
      </w:pPr>
      <w:bookmarkStart w:id="32" w:name="_Toc134608263"/>
      <w:bookmarkStart w:id="33" w:name="_Toc120852197"/>
      <w:bookmarkStart w:id="34" w:name="_Toc134604132"/>
      <w:bookmarkStart w:id="35" w:name="_Toc142753384"/>
      <w:r>
        <w:rPr>
          <w:rFonts w:ascii="Times New Roman" w:hAnsi="Times New Roman" w:cs="Times New Roman" w:eastAsiaTheme="minorEastAsia"/>
          <w:b/>
          <w:bCs/>
          <w:color w:val="auto"/>
        </w:rPr>
        <w:t>To the nurses.</w:t>
      </w:r>
      <w:bookmarkEnd w:id="32"/>
      <w:bookmarkEnd w:id="33"/>
      <w:bookmarkEnd w:id="34"/>
      <w:bookmarkEnd w:id="35"/>
      <w:r>
        <w:rPr>
          <w:rFonts w:ascii="Times New Roman" w:hAnsi="Times New Roman" w:cs="Times New Roman" w:eastAsiaTheme="minorEastAsia"/>
          <w:b/>
          <w:bCs/>
        </w:rPr>
        <w:tab/>
      </w:r>
    </w:p>
    <w:p>
      <w:pPr>
        <w:autoSpaceDE w:val="0"/>
        <w:autoSpaceDN w:val="0"/>
        <w:adjustRightInd w:val="0"/>
        <w:spacing w:before="100" w:beforeAutospacing="1" w:after="100" w:afterAutospacing="1" w:line="480" w:lineRule="auto"/>
        <w:ind w:right="90" w:firstLine="540"/>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The study will shed light on the variables that affect nurses' post-operative pain care, resulting in patient satisfaction. Additionally, it might give nurses more self-assurance and satisfaction when caring for patients who are experiencing post-operative pain. As well, it might investigate the nurse's understanding, behavior, and outcomes of post-operative nursing pain management.</w:t>
      </w:r>
    </w:p>
    <w:p>
      <w:pPr>
        <w:pStyle w:val="4"/>
        <w:ind w:right="90"/>
        <w:jc w:val="both"/>
        <w:rPr>
          <w:rFonts w:ascii="Times New Roman" w:hAnsi="Times New Roman" w:cs="Times New Roman" w:eastAsiaTheme="minorEastAsia"/>
          <w:b/>
          <w:bCs/>
          <w:color w:val="auto"/>
        </w:rPr>
      </w:pPr>
      <w:bookmarkStart w:id="36" w:name="_Toc134608264"/>
      <w:bookmarkStart w:id="37" w:name="_Toc142753385"/>
      <w:bookmarkStart w:id="38" w:name="_Toc120852198"/>
      <w:bookmarkStart w:id="39" w:name="_Toc134604133"/>
      <w:r>
        <w:rPr>
          <w:rFonts w:ascii="Times New Roman" w:hAnsi="Times New Roman" w:cs="Times New Roman" w:eastAsiaTheme="minorEastAsia"/>
          <w:b/>
          <w:bCs/>
          <w:color w:val="auto"/>
        </w:rPr>
        <w:t>Policy makers.</w:t>
      </w:r>
      <w:bookmarkEnd w:id="36"/>
      <w:bookmarkEnd w:id="37"/>
      <w:bookmarkEnd w:id="38"/>
      <w:bookmarkEnd w:id="39"/>
    </w:p>
    <w:p>
      <w:pPr>
        <w:autoSpaceDE w:val="0"/>
        <w:autoSpaceDN w:val="0"/>
        <w:adjustRightInd w:val="0"/>
        <w:spacing w:before="100" w:beforeAutospacing="1" w:after="100" w:afterAutospacing="1" w:line="480" w:lineRule="auto"/>
        <w:ind w:right="90" w:firstLine="540"/>
        <w:jc w:val="both"/>
        <w:rPr>
          <w:rFonts w:ascii="Times New Roman" w:hAnsi="Times New Roman" w:cs="Times New Roman"/>
          <w:sz w:val="24"/>
          <w:szCs w:val="24"/>
        </w:rPr>
      </w:pPr>
      <w:r>
        <w:rPr>
          <w:rFonts w:ascii="Times New Roman" w:hAnsi="Times New Roman" w:cs="Times New Roman"/>
          <w:sz w:val="24"/>
          <w:szCs w:val="24"/>
        </w:rPr>
        <w:t>Based on the results, initiatives to enhance nurses' post-operative pain management knowledge, attitudes, and behaviors may be developed, put into practice, and then assessed. This would lead to enhanced nursing practice and a reduction in patient post-operative pain. This study's goal of identifying assessment knowledge gaps will help policy makers create protocols and policy directives that will enhance nursing practice. Also, the study will serve as a springboard for nursing management to offer nurses and other medical staff in the hospital additional ongoing medical education regarding pain evaluation and management. Further, the report will also serve as a guide for lawmakers as the Ministry of Health in Uganda considers how to give every patient the best possible medical care. Therefore, the study will contribute to the ongoing education of hospital nurses in the assessment and treatment of pain.</w:t>
      </w:r>
      <w:r>
        <w:rPr>
          <w:rFonts w:ascii="Times New Roman" w:hAnsi="Times New Roman" w:cs="Times New Roman" w:eastAsiaTheme="minorEastAsia"/>
          <w:b/>
          <w:sz w:val="24"/>
          <w:szCs w:val="24"/>
        </w:rPr>
        <w:tab/>
      </w:r>
    </w:p>
    <w:p>
      <w:pPr>
        <w:pStyle w:val="4"/>
        <w:spacing w:line="480" w:lineRule="auto"/>
        <w:ind w:right="90"/>
        <w:jc w:val="both"/>
        <w:rPr>
          <w:rFonts w:ascii="Times New Roman" w:hAnsi="Times New Roman" w:cs="Times New Roman" w:eastAsiaTheme="minorEastAsia"/>
          <w:b/>
          <w:bCs/>
          <w:color w:val="auto"/>
        </w:rPr>
      </w:pPr>
      <w:bookmarkStart w:id="40" w:name="_Toc142753386"/>
      <w:bookmarkStart w:id="41" w:name="_Toc120852199"/>
      <w:bookmarkStart w:id="42" w:name="_Toc134604134"/>
      <w:bookmarkStart w:id="43" w:name="_Toc134608265"/>
      <w:r>
        <w:rPr>
          <w:rFonts w:ascii="Times New Roman" w:hAnsi="Times New Roman" w:cs="Times New Roman" w:eastAsiaTheme="minorEastAsia"/>
          <w:b/>
          <w:bCs/>
          <w:color w:val="auto"/>
        </w:rPr>
        <w:t>Nur</w:t>
      </w:r>
      <w:r>
        <w:rPr>
          <w:rFonts w:ascii="Times New Roman" w:hAnsi="Times New Roman" w:cs="Times New Roman"/>
          <w:b/>
          <w:bCs/>
          <w:color w:val="auto"/>
        </w:rPr>
        <w:t>sing education and curriculum development.</w:t>
      </w:r>
      <w:bookmarkEnd w:id="40"/>
      <w:bookmarkEnd w:id="41"/>
      <w:bookmarkEnd w:id="42"/>
      <w:bookmarkEnd w:id="43"/>
    </w:p>
    <w:p>
      <w:pPr>
        <w:autoSpaceDE w:val="0"/>
        <w:autoSpaceDN w:val="0"/>
        <w:adjustRightInd w:val="0"/>
        <w:spacing w:before="100" w:beforeAutospacing="1" w:after="100" w:afterAutospacing="1" w:line="480" w:lineRule="auto"/>
        <w:ind w:right="90" w:firstLine="540"/>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Nurse educators in the training schools will emphasize the acquired knowledge and skills to be used in training the students on the proper assessment of postoperative pain during their clinical placement. It will provide insight to nursing curriculum developers as far as nursing education is concerned and add pain assessment in the current curriculum.</w:t>
      </w:r>
    </w:p>
    <w:p>
      <w:pPr>
        <w:pStyle w:val="5"/>
        <w:ind w:right="90"/>
        <w:jc w:val="both"/>
        <w:rPr>
          <w:rFonts w:ascii="Times New Roman" w:hAnsi="Times New Roman" w:cs="Times New Roman" w:eastAsiaTheme="minorEastAsia"/>
          <w:b/>
          <w:bCs/>
          <w:i w:val="0"/>
          <w:iCs w:val="0"/>
          <w:color w:val="auto"/>
          <w:sz w:val="24"/>
          <w:szCs w:val="24"/>
        </w:rPr>
      </w:pPr>
      <w:r>
        <w:rPr>
          <w:rFonts w:ascii="Times New Roman" w:hAnsi="Times New Roman" w:cs="Times New Roman" w:eastAsiaTheme="minorEastAsia"/>
          <w:b/>
          <w:bCs/>
          <w:i w:val="0"/>
          <w:iCs w:val="0"/>
          <w:color w:val="auto"/>
          <w:sz w:val="24"/>
          <w:szCs w:val="24"/>
        </w:rPr>
        <w:t>To the Patients.</w:t>
      </w:r>
    </w:p>
    <w:p>
      <w:pPr>
        <w:autoSpaceDE w:val="0"/>
        <w:autoSpaceDN w:val="0"/>
        <w:adjustRightInd w:val="0"/>
        <w:spacing w:before="100" w:beforeAutospacing="1" w:after="100" w:afterAutospacing="1" w:line="480" w:lineRule="auto"/>
        <w:ind w:right="90" w:firstLine="540"/>
        <w:jc w:val="both"/>
        <w:rPr>
          <w:rFonts w:ascii="Times New Roman" w:hAnsi="Times New Roman" w:cs="Times New Roman"/>
          <w:b/>
          <w:sz w:val="24"/>
          <w:szCs w:val="24"/>
        </w:rPr>
      </w:pPr>
      <w:r>
        <w:rPr>
          <w:rFonts w:ascii="Times New Roman" w:hAnsi="Times New Roman" w:cs="Times New Roman" w:eastAsiaTheme="minorEastAsia"/>
          <w:sz w:val="24"/>
          <w:szCs w:val="24"/>
        </w:rPr>
        <w:t>It will create patient satisfaction based on the timely administration of appropriate pain killers after assessing their pain levels. More still, good pain management after assessment will reduce the patient’s complications post operatively, for example chronic post-operative pain. In addition, good post-operative pain management will reduce the patient’s stay in hospital and costs spent in hospital as the study is in a private hospital. Lastly, the patients’ chances of becoming addicted will be reduced as the pain assessment levels will determine which measure to take thus limiting the unnecessary use of opioids.</w:t>
      </w:r>
    </w:p>
    <w:p>
      <w:pPr>
        <w:pStyle w:val="3"/>
        <w:rPr>
          <w:rFonts w:ascii="Times New Roman" w:hAnsi="Times New Roman" w:cs="Times New Roman"/>
          <w:b w:val="0"/>
          <w:sz w:val="24"/>
          <w:szCs w:val="24"/>
        </w:rPr>
      </w:pPr>
      <w:bookmarkStart w:id="44" w:name="_Toc142753387"/>
      <w:bookmarkStart w:id="45" w:name="_Toc134604135"/>
      <w:r>
        <w:rPr>
          <w:rFonts w:ascii="Times New Roman" w:hAnsi="Times New Roman" w:cs="Times New Roman"/>
          <w:sz w:val="24"/>
          <w:szCs w:val="24"/>
        </w:rPr>
        <w:t>Study Variables</w:t>
      </w:r>
      <w:bookmarkEnd w:id="44"/>
      <w:bookmarkEnd w:id="45"/>
    </w:p>
    <w:p>
      <w:pPr>
        <w:spacing w:before="100" w:beforeAutospacing="1" w:after="100" w:afterAutospacing="1" w:line="480" w:lineRule="auto"/>
        <w:ind w:right="90" w:firstLine="720"/>
        <w:jc w:val="both"/>
        <w:rPr>
          <w:rFonts w:ascii="Times New Roman" w:hAnsi="Times New Roman" w:cs="Times New Roman"/>
          <w:sz w:val="24"/>
          <w:szCs w:val="24"/>
        </w:rPr>
      </w:pPr>
      <w:r>
        <w:rPr>
          <w:rFonts w:ascii="Times New Roman" w:hAnsi="Times New Roman" w:cs="Times New Roman"/>
          <w:sz w:val="24"/>
          <w:szCs w:val="24"/>
        </w:rPr>
        <w:t>A variable is any item, circumstance, notion, emotion, moment, or other category that one is attempting to measure.</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{"citationItems":[{"id":"ITEM-1","itemData":{"abstract":"The user has requested enhancement of the downloaded file.","author":[{"dropping-particle":"","family":"Oyebanji","given":"Olayemi Jumoke Abiodun","non-dropping-particle":"","parse-names":false,"suffix":""}],"container-title":"Research in Education","id":"ITEM-1","issue":"July 2017","issued":{"date-parts":[["2017"]]},"page":"43-55","title":"Research Variables: Types, Uses and Definition of Terms","type":"article-journal"},"uris":["http://www.mendeley.com/documents/?uuid=716ce2a1-1d31-4b8b-aa47-3a1b65897860"]}],"mendeley":{"formattedCitation":"(Oyebanji, 2017)","plainTextFormattedCitation":"(Oyebanji, 2017)","previouslyFormattedCitation":"(Oyebanji,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(Oyebanji, 2017)</w:t>
      </w:r>
      <w:r>
        <w:rPr>
          <w:rFonts w:ascii="Times New Roman" w:hAnsi="Times New Roman" w:cs="Times New Roman"/>
          <w:sz w:val="24"/>
          <w:szCs w:val="24"/>
        </w:rPr>
        <w:fldChar w:fldCharType="end"/>
      </w:r>
      <w:r>
        <w:rPr>
          <w:rFonts w:ascii="Times New Roman" w:hAnsi="Times New Roman" w:cs="Times New Roman"/>
          <w:sz w:val="24"/>
          <w:szCs w:val="24"/>
        </w:rPr>
        <w:t xml:space="preserve">. Nurses' knowledge, attitude, and practice are the three primary variables in this study. The pain assessment scale, nurses' knowledge, attitude, and practice are independent variables since post-operative pain management is influenced by the other three variables, making it a dependent variable. According to </w:t>
      </w:r>
      <w:r>
        <w:rPr>
          <w:rFonts w:ascii="Times New Roman" w:hAnsi="Times New Roman" w:cs="Times New Roman"/>
          <w:bCs/>
          <w:sz w:val="24"/>
          <w:szCs w:val="24"/>
        </w:rPr>
        <w:t>Polit and Beck (2008)</w:t>
      </w:r>
      <w:r>
        <w:rPr>
          <w:rFonts w:ascii="Times New Roman" w:hAnsi="Times New Roman" w:cs="Times New Roman"/>
          <w:sz w:val="24"/>
          <w:szCs w:val="24"/>
        </w:rPr>
        <w:t xml:space="preserve"> the variable that is assumed to depend on or be caused by another variable (the independent variable), the outcome variable of interest, is known as the dependent variable. The manipulated (treatment) variable in experimental research is an example of an independent variable because it is thought to affect or impact the dependent variable.</w:t>
      </w:r>
    </w:p>
    <w:p>
      <w:pPr>
        <w:pStyle w:val="3"/>
        <w:rPr>
          <w:rFonts w:ascii="Times New Roman" w:hAnsi="Times New Roman" w:cs="Times New Roman"/>
          <w:sz w:val="24"/>
          <w:szCs w:val="24"/>
        </w:rPr>
      </w:pPr>
      <w:bookmarkStart w:id="46" w:name="_Toc142753388"/>
      <w:bookmarkStart w:id="47" w:name="_Toc134604136"/>
      <w:r>
        <w:rPr>
          <w:rFonts w:ascii="Times New Roman" w:hAnsi="Times New Roman" w:cs="Times New Roman"/>
          <w:sz w:val="24"/>
          <w:szCs w:val="24"/>
        </w:rPr>
        <w:t>Conceptual Framework</w:t>
      </w:r>
      <w:bookmarkEnd w:id="46"/>
      <w:bookmarkEnd w:id="47"/>
      <w:r>
        <w:rPr>
          <w:rFonts w:ascii="Times New Roman" w:hAnsi="Times New Roman" w:cs="Times New Roman"/>
          <w:sz w:val="24"/>
          <w:szCs w:val="24"/>
        </w:rPr>
        <w:t xml:space="preserve">  </w:t>
      </w:r>
    </w:p>
    <w:p>
      <w:pPr>
        <w:pStyle w:val="3"/>
        <w:rPr>
          <w:rFonts w:ascii="Times New Roman" w:hAnsi="Times New Roman" w:cs="Times New Roman"/>
          <w:b w:val="0"/>
          <w:sz w:val="24"/>
          <w:szCs w:val="24"/>
        </w:rPr>
      </w:pPr>
      <w:r>
        <w:rPr>
          <w:rFonts w:ascii="Times New Roman" w:hAnsi="Times New Roman" w:cs="Times New Roman"/>
          <w:sz w:val="24"/>
          <w:szCs w:val="24"/>
        </w:rPr>
        <w:t xml:space="preserve"> </w:t>
      </w:r>
    </w:p>
    <w:p>
      <w:pPr>
        <w:spacing w:before="100" w:beforeAutospacing="1" w:after="100" w:afterAutospacing="1" w:line="480" w:lineRule="auto"/>
        <w:ind w:left="720" w:right="720" w:firstLine="720"/>
        <w:rPr>
          <w:rFonts w:ascii="Times New Roman" w:hAnsi="Times New Roman" w:cs="Times New Roman"/>
          <w:b/>
          <w:sz w:val="24"/>
          <w:szCs w:val="24"/>
        </w:rPr>
      </w:pPr>
      <w:r>
        <w:rPr>
          <w:rFonts w:ascii="Times New Roman" w:hAnsi="Times New Roman" w:cs="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3569970</wp:posOffset>
                </wp:positionH>
                <wp:positionV relativeFrom="paragraph">
                  <wp:posOffset>9525</wp:posOffset>
                </wp:positionV>
                <wp:extent cx="2743200" cy="986155"/>
                <wp:effectExtent l="0" t="0" r="19050" b="24130"/>
                <wp:wrapNone/>
                <wp:docPr id="49" name="Rectangle 49"/>
                <wp:cNvGraphicFramePr/>
                <a:graphic xmlns:a="http://schemas.openxmlformats.org/drawingml/2006/main">
                  <a:graphicData uri="http://schemas.microsoft.com/office/word/2010/wordprocessingShape">
                    <wps:wsp>
                      <wps:cNvSpPr/>
                      <wps:spPr>
                        <a:xfrm>
                          <a:off x="0" y="0"/>
                          <a:ext cx="2743200" cy="985962"/>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 xml:space="preserve">Post Operative </w:t>
                            </w:r>
                          </w:p>
                          <w:p>
                            <w:pPr>
                              <w:jc w:val="center"/>
                              <w:rPr>
                                <w:rFonts w:ascii="Times New Roman" w:hAnsi="Times New Roman" w:cs="Times New Roman"/>
                              </w:rPr>
                            </w:pPr>
                            <w:r>
                              <w:rPr>
                                <w:rFonts w:ascii="Times New Roman" w:hAnsi="Times New Roman" w:cs="Times New Roman"/>
                              </w:rPr>
                              <w:t xml:space="preserve">Pain Management  </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9" o:spid="_x0000_s1026" o:spt="1" style="position:absolute;left:0pt;margin-left:281.1pt;margin-top:0.75pt;height:77.65pt;width:216pt;z-index:251670528;v-text-anchor:middle;mso-width-relative:page;mso-height-relative:page;" fillcolor="#FFFFFF [3201]" filled="t" stroked="t" coordsize="21600,21600" o:gfxdata="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0lHAnVAAAACQEAAA8AAAAAAAAAAQAgAAAAIgAAAGRycy9kb3ducmV2LnhtbFBL&#10;AQIUABQAAAAIAIdO4kCidsCvawIAAAQFAAAOAAAAAAAAAAEAIAAAACQBAABkcnMvZTJvRG9jLnht&#10;bFBLBQYAAAAABgAGAFkBAAABBgAAAAA=&#10;">
                <v:fill on="t" focussize="0,0"/>
                <v:stroke weight="1pt" color="#000000 [3200]"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 xml:space="preserve">Post Operative </w:t>
                      </w:r>
                    </w:p>
                    <w:p>
                      <w:pPr>
                        <w:jc w:val="center"/>
                        <w:rPr>
                          <w:rFonts w:ascii="Times New Roman" w:hAnsi="Times New Roman" w:cs="Times New Roman"/>
                        </w:rPr>
                      </w:pPr>
                      <w:r>
                        <w:rPr>
                          <w:rFonts w:ascii="Times New Roman" w:hAnsi="Times New Roman" w:cs="Times New Roman"/>
                        </w:rPr>
                        <w:t xml:space="preserve">Pain Management  </w:t>
                      </w:r>
                    </w:p>
                    <w:p/>
                  </w:txbxContent>
                </v:textbox>
              </v:rect>
            </w:pict>
          </mc:Fallback>
        </mc:AlternateContent>
      </w:r>
      <w:r>
        <w:rPr>
          <w:rFonts w:ascii="Times New Roman" w:hAnsi="Times New Roman" w:cs="Times New Roman"/>
          <w:sz w:val="24"/>
          <w:szCs w:val="24"/>
        </w:rPr>
        <mc:AlternateContent>
          <mc:Choice Requires="wps">
            <w:drawing>
              <wp:anchor distT="0" distB="0" distL="114300" distR="114300" simplePos="0" relativeHeight="251673600" behindDoc="0" locked="0" layoutInCell="1" allowOverlap="1">
                <wp:simplePos x="0" y="0"/>
                <wp:positionH relativeFrom="column">
                  <wp:posOffset>2496185</wp:posOffset>
                </wp:positionH>
                <wp:positionV relativeFrom="paragraph">
                  <wp:posOffset>139700</wp:posOffset>
                </wp:positionV>
                <wp:extent cx="1033780" cy="1067435"/>
                <wp:effectExtent l="0" t="19050" r="33655" b="38100"/>
                <wp:wrapNone/>
                <wp:docPr id="41" name="Arrow: Right 41"/>
                <wp:cNvGraphicFramePr/>
                <a:graphic xmlns:a="http://schemas.openxmlformats.org/drawingml/2006/main">
                  <a:graphicData uri="http://schemas.microsoft.com/office/word/2010/wordprocessingShape">
                    <wps:wsp>
                      <wps:cNvSpPr/>
                      <wps:spPr>
                        <a:xfrm>
                          <a:off x="0" y="0"/>
                          <a:ext cx="1033669" cy="1067132"/>
                        </a:xfrm>
                        <a:prstGeom prst="rightArrow">
                          <a:avLst/>
                        </a:prstGeom>
                      </wps:spPr>
                      <wps:style>
                        <a:lnRef idx="2">
                          <a:schemeClr val="dk1"/>
                        </a:lnRef>
                        <a:fillRef idx="1">
                          <a:schemeClr val="lt1"/>
                        </a:fillRef>
                        <a:effectRef idx="0">
                          <a:schemeClr val="dk1"/>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Right 41" o:spid="_x0000_s1026" o:spt="13" type="#_x0000_t13" style="position:absolute;left:0pt;margin-left:196.55pt;margin-top:11pt;height:84.05pt;width:81.4pt;z-index:251673600;v-text-anchor:middle;mso-width-relative:page;mso-height-relative:page;" fillcolor="#FFFFFF [3201]" filled="t" stroked="t" coordsize="21600,21600" o:gfxdata="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DOu6zYAAAACgEAAA8AAAAAAAAAAQAgAAAAIgAAAGRycy9kb3du&#10;cmV2LnhtbFBLAQIUABQAAAAIAIdO4kBq4kPDcQIAAA4FAAAOAAAAAAAAAAEAIAAAACcBAABkcnMv&#10;ZTJvRG9jLnhtbFBLBQYAAAAABgAGAFkBAAAKBgAAAAA=&#10;" adj="10800,5400">
                <v:fill on="t" focussize="0,0"/>
                <v:stroke weight="1pt" color="#000000 [3200]" miterlimit="8" joinstyle="miter"/>
                <v:imagedata o:title=""/>
                <o:lock v:ext="edit" aspectratio="f"/>
                <v:textbox>
                  <w:txbxContent>
                    <w:p>
                      <w:pPr>
                        <w:jc w:val="center"/>
                      </w:pP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68480" behindDoc="0" locked="0" layoutInCell="1" allowOverlap="1">
                <wp:simplePos x="0" y="0"/>
                <wp:positionH relativeFrom="column">
                  <wp:posOffset>201930</wp:posOffset>
                </wp:positionH>
                <wp:positionV relativeFrom="paragraph">
                  <wp:posOffset>10160</wp:posOffset>
                </wp:positionV>
                <wp:extent cx="2278380" cy="1125220"/>
                <wp:effectExtent l="0" t="0" r="26670" b="17780"/>
                <wp:wrapNone/>
                <wp:docPr id="48" name="Rectangle 48"/>
                <wp:cNvGraphicFramePr/>
                <a:graphic xmlns:a="http://schemas.openxmlformats.org/drawingml/2006/main">
                  <a:graphicData uri="http://schemas.microsoft.com/office/word/2010/wordprocessingShape">
                    <wps:wsp>
                      <wps:cNvSpPr/>
                      <wps:spPr>
                        <a:xfrm>
                          <a:off x="0" y="0"/>
                          <a:ext cx="2278380" cy="112522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ascii="Times New Roman" w:hAnsi="Times New Roman" w:cs="Times New Roman"/>
                                <w:b/>
                                <w:bCs/>
                              </w:rPr>
                            </w:pPr>
                            <w:r>
                              <w:rPr>
                                <w:rFonts w:ascii="Times New Roman" w:hAnsi="Times New Roman" w:cs="Times New Roman"/>
                                <w:b/>
                                <w:bCs/>
                              </w:rPr>
                              <w:t xml:space="preserve">Knowledge </w:t>
                            </w:r>
                          </w:p>
                          <w:p>
                            <w:pPr>
                              <w:jc w:val="center"/>
                              <w:rPr>
                                <w:rFonts w:ascii="Times New Roman" w:hAnsi="Times New Roman" w:cs="Times New Roman"/>
                              </w:rPr>
                            </w:pPr>
                            <w:r>
                              <w:rPr>
                                <w:rFonts w:ascii="Times New Roman" w:hAnsi="Times New Roman" w:cs="Times New Roman"/>
                              </w:rPr>
                              <w:t>Pain assessment</w:t>
                            </w:r>
                          </w:p>
                          <w:p>
                            <w:pPr>
                              <w:jc w:val="center"/>
                              <w:rPr>
                                <w:rFonts w:ascii="Times New Roman" w:hAnsi="Times New Roman" w:cs="Times New Roman"/>
                              </w:rPr>
                            </w:pPr>
                            <w:r>
                              <w:rPr>
                                <w:rFonts w:ascii="Times New Roman" w:hAnsi="Times New Roman" w:cs="Times New Roman"/>
                              </w:rPr>
                              <w:t>Pain management</w:t>
                            </w:r>
                          </w:p>
                          <w:p>
                            <w:pPr>
                              <w:jc w:val="center"/>
                              <w:rPr>
                                <w:rFonts w:ascii="Times New Roman" w:hAnsi="Times New Roman" w:cs="Times New Roman"/>
                              </w:rPr>
                            </w:pPr>
                            <w:r>
                              <w:rPr>
                                <w:rFonts w:ascii="Times New Roman" w:hAnsi="Times New Roman" w:cs="Times New Roman"/>
                              </w:rPr>
                              <w:t xml:space="preserve">CPD on pain assessment </w:t>
                            </w:r>
                          </w:p>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8" o:spid="_x0000_s1026" o:spt="1" style="position:absolute;left:0pt;margin-left:15.9pt;margin-top:0.8pt;height:88.6pt;width:179.4pt;z-index:251668480;v-text-anchor:middle;mso-width-relative:page;mso-height-relative:page;" fillcolor="#FFFFFF [3201]" filled="t" stroked="t" coordsize="21600,21600" o:gfxdata="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UFKimNUAAAAIAQAADwAAAAAAAAABACAAAAAiAAAAZHJzL2Rvd25yZXYueG1s&#10;UEsBAhQAFAAAAAgAh07iQO0WfJRtAgAABQUAAA4AAAAAAAAAAQAgAAAAJAEAAGRycy9lMm9Eb2Mu&#10;eG1sUEsFBgAAAAAGAAYAWQEAAAMGAAAAAA==&#10;">
                <v:fill on="t" focussize="0,0"/>
                <v:stroke weight="1pt" color="#000000 [3200]" miterlimit="8" joinstyle="miter"/>
                <v:imagedata o:title=""/>
                <o:lock v:ext="edit" aspectratio="f"/>
                <v:textbox>
                  <w:txbxContent>
                    <w:p>
                      <w:pPr>
                        <w:jc w:val="center"/>
                        <w:rPr>
                          <w:rFonts w:ascii="Times New Roman" w:hAnsi="Times New Roman" w:cs="Times New Roman"/>
                          <w:b/>
                          <w:bCs/>
                        </w:rPr>
                      </w:pPr>
                      <w:r>
                        <w:rPr>
                          <w:rFonts w:ascii="Times New Roman" w:hAnsi="Times New Roman" w:cs="Times New Roman"/>
                          <w:b/>
                          <w:bCs/>
                        </w:rPr>
                        <w:t xml:space="preserve">Knowledge </w:t>
                      </w:r>
                    </w:p>
                    <w:p>
                      <w:pPr>
                        <w:jc w:val="center"/>
                        <w:rPr>
                          <w:rFonts w:ascii="Times New Roman" w:hAnsi="Times New Roman" w:cs="Times New Roman"/>
                        </w:rPr>
                      </w:pPr>
                      <w:r>
                        <w:rPr>
                          <w:rFonts w:ascii="Times New Roman" w:hAnsi="Times New Roman" w:cs="Times New Roman"/>
                        </w:rPr>
                        <w:t>Pain assessment</w:t>
                      </w:r>
                    </w:p>
                    <w:p>
                      <w:pPr>
                        <w:jc w:val="center"/>
                        <w:rPr>
                          <w:rFonts w:ascii="Times New Roman" w:hAnsi="Times New Roman" w:cs="Times New Roman"/>
                        </w:rPr>
                      </w:pPr>
                      <w:r>
                        <w:rPr>
                          <w:rFonts w:ascii="Times New Roman" w:hAnsi="Times New Roman" w:cs="Times New Roman"/>
                        </w:rPr>
                        <w:t>Pain management</w:t>
                      </w:r>
                    </w:p>
                    <w:p>
                      <w:pPr>
                        <w:jc w:val="center"/>
                        <w:rPr>
                          <w:rFonts w:ascii="Times New Roman" w:hAnsi="Times New Roman" w:cs="Times New Roman"/>
                        </w:rPr>
                      </w:pPr>
                      <w:r>
                        <w:rPr>
                          <w:rFonts w:ascii="Times New Roman" w:hAnsi="Times New Roman" w:cs="Times New Roman"/>
                        </w:rPr>
                        <w:t xml:space="preserve">CPD on pain assessment </w:t>
                      </w:r>
                    </w:p>
                    <w:p>
                      <w:pPr>
                        <w:jc w:val="center"/>
                      </w:pPr>
                    </w:p>
                    <w:p>
                      <w:pPr>
                        <w:jc w:val="center"/>
                      </w:pPr>
                    </w:p>
                  </w:txbxContent>
                </v:textbox>
              </v:rect>
            </w:pict>
          </mc:Fallback>
        </mc:AlternateContent>
      </w:r>
    </w:p>
    <w:p>
      <w:pPr>
        <w:spacing w:before="100" w:beforeAutospacing="1" w:after="100" w:afterAutospacing="1" w:line="480" w:lineRule="auto"/>
        <w:ind w:left="720" w:right="720" w:firstLine="720"/>
        <w:rPr>
          <w:rFonts w:ascii="Times New Roman" w:hAnsi="Times New Roman" w:cs="Times New Roman"/>
          <w:b/>
          <w:sz w:val="24"/>
          <w:szCs w:val="24"/>
        </w:rPr>
      </w:pPr>
      <w:r>
        <w:rPr>
          <w:rFonts w:ascii="Times New Roman" w:hAnsi="Times New Roman" w:cs="Times New Roman"/>
          <w:sz w:val="24"/>
          <w:szCs w:val="24"/>
        </w:rPr>
        <mc:AlternateContent>
          <mc:Choice Requires="wps">
            <w:drawing>
              <wp:anchor distT="0" distB="0" distL="114300" distR="114300" simplePos="0" relativeHeight="251674624" behindDoc="0" locked="0" layoutInCell="1" allowOverlap="1">
                <wp:simplePos x="0" y="0"/>
                <wp:positionH relativeFrom="column">
                  <wp:posOffset>5306060</wp:posOffset>
                </wp:positionH>
                <wp:positionV relativeFrom="paragraph">
                  <wp:posOffset>276225</wp:posOffset>
                </wp:positionV>
                <wp:extent cx="484505" cy="251460"/>
                <wp:effectExtent l="38100" t="19050" r="10795" b="15875"/>
                <wp:wrapNone/>
                <wp:docPr id="1124762974" name="Arrow: Up 2"/>
                <wp:cNvGraphicFramePr/>
                <a:graphic xmlns:a="http://schemas.openxmlformats.org/drawingml/2006/main">
                  <a:graphicData uri="http://schemas.microsoft.com/office/word/2010/wordprocessingShape">
                    <wps:wsp>
                      <wps:cNvSpPr/>
                      <wps:spPr>
                        <a:xfrm>
                          <a:off x="0" y="0"/>
                          <a:ext cx="484632" cy="251295"/>
                        </a:xfrm>
                        <a:prstGeom prst="upArrow">
                          <a:avLst/>
                        </a:prstGeom>
                      </wps:spPr>
                      <wps:style>
                        <a:lnRef idx="2">
                          <a:schemeClr val="dk1"/>
                        </a:lnRef>
                        <a:fillRef idx="1">
                          <a:schemeClr val="lt1"/>
                        </a:fillRef>
                        <a:effectRef idx="0">
                          <a:schemeClr val="dk1"/>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Up 2" o:spid="_x0000_s1026" o:spt="68" type="#_x0000_t68" style="position:absolute;left:0pt;margin-left:417.8pt;margin-top:21.75pt;height:19.8pt;width:38.15pt;z-index:251674624;v-text-anchor:middle;mso-width-relative:page;mso-height-relative:page;" fillcolor="#FFFFFF [3201]" filled="t" stroked="t" coordsize="21600,21600" o:gfxdata="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hWS/r2AAAAAkBAAAPAAAAAAAAAAEAIAAAACIAAABkcnMvZG93&#10;bnJldi54bWxQSwECFAAUAAAACACHTuJAd8g8MXICAAANBQAADgAAAAAAAAABACAAAAAnAQAAZHJz&#10;L2Uyb0RvYy54bWxQSwUGAAAAAAYABgBZAQAACwYAAAAA&#10;" adj="10800,5400">
                <v:fill on="t" focussize="0,0"/>
                <v:stroke weight="1pt" color="#000000 [3200]" miterlimit="8" joinstyle="miter"/>
                <v:imagedata o:title=""/>
                <o:lock v:ext="edit" aspectratio="f"/>
                <v:textbox>
                  <w:txbxContent>
                    <w:p>
                      <w:pPr>
                        <w:jc w:val="center"/>
                      </w:pP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1552" behindDoc="0" locked="0" layoutInCell="1" allowOverlap="1">
                <wp:simplePos x="0" y="0"/>
                <wp:positionH relativeFrom="column">
                  <wp:posOffset>734060</wp:posOffset>
                </wp:positionH>
                <wp:positionV relativeFrom="paragraph">
                  <wp:posOffset>440690</wp:posOffset>
                </wp:positionV>
                <wp:extent cx="484505" cy="270510"/>
                <wp:effectExtent l="38100" t="0" r="0" b="34925"/>
                <wp:wrapNone/>
                <wp:docPr id="43" name="Arrow: Down 43"/>
                <wp:cNvGraphicFramePr/>
                <a:graphic xmlns:a="http://schemas.openxmlformats.org/drawingml/2006/main">
                  <a:graphicData uri="http://schemas.microsoft.com/office/word/2010/wordprocessingShape">
                    <wps:wsp>
                      <wps:cNvSpPr/>
                      <wps:spPr>
                        <a:xfrm>
                          <a:off x="0" y="0"/>
                          <a:ext cx="484505" cy="270344"/>
                        </a:xfrm>
                        <a:prstGeom prst="downArrow">
                          <a:avLst/>
                        </a:prstGeom>
                      </wps:spPr>
                      <wps:style>
                        <a:lnRef idx="2">
                          <a:schemeClr val="dk1"/>
                        </a:lnRef>
                        <a:fillRef idx="1">
                          <a:schemeClr val="lt1"/>
                        </a:fillRef>
                        <a:effectRef idx="0">
                          <a:schemeClr val="dk1"/>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Down 43" o:spid="_x0000_s1026" o:spt="67" type="#_x0000_t67" style="position:absolute;left:0pt;margin-left:57.8pt;margin-top:34.7pt;height:21.3pt;width:38.15pt;z-index:251671552;v-text-anchor:middle;mso-width-relative:page;mso-height-relative:page;" fillcolor="#FFFFFF [3201]" filled="t" stroked="t" coordsize="21600,21600" o:gfxdata="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9HdoDYAAAACgEAAA8AAAAAAAAAAQAgAAAAIgAAAGRycy9kb3ducmV2&#10;LnhtbFBLAQIUABQAAAAIAIdO4kCkBSDLbgIAAAoFAAAOAAAAAAAAAAEAIAAAACcBAABkcnMvZTJv&#10;RG9jLnhtbFBLBQYAAAAABgAGAFkBAAAHBgAAAAA=&#10;" adj="10800,5400">
                <v:fill on="t" focussize="0,0"/>
                <v:stroke weight="1pt" color="#000000 [3200]" miterlimit="8" joinstyle="miter"/>
                <v:imagedata o:title=""/>
                <o:lock v:ext="edit" aspectratio="f"/>
                <v:textbox>
                  <w:txbxContent>
                    <w:p>
                      <w:pPr>
                        <w:jc w:val="center"/>
                      </w:pPr>
                    </w:p>
                  </w:txbxContent>
                </v:textbox>
              </v:shape>
            </w:pict>
          </mc:Fallback>
        </mc:AlternateContent>
      </w:r>
    </w:p>
    <w:p>
      <w:pPr>
        <w:spacing w:before="100" w:beforeAutospacing="1" w:after="100" w:afterAutospacing="1" w:line="480" w:lineRule="auto"/>
        <w:ind w:left="720" w:right="720" w:firstLine="720"/>
        <w:rPr>
          <w:rFonts w:ascii="Times New Roman" w:hAnsi="Times New Roman" w:cs="Times New Roman"/>
          <w:b/>
          <w:sz w:val="24"/>
          <w:szCs w:val="24"/>
        </w:rPr>
      </w:pPr>
      <w:r>
        <w:rPr>
          <w:rFonts w:ascii="Times New Roman" w:hAnsi="Times New Roman" w:cs="Times New Roman"/>
          <w:sz w:val="24"/>
          <w:szCs w:val="24"/>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184785</wp:posOffset>
                </wp:positionV>
                <wp:extent cx="2463165" cy="1790700"/>
                <wp:effectExtent l="0" t="0" r="13335" b="19050"/>
                <wp:wrapNone/>
                <wp:docPr id="42" name="Rectangle 42"/>
                <wp:cNvGraphicFramePr/>
                <a:graphic xmlns:a="http://schemas.openxmlformats.org/drawingml/2006/main">
                  <a:graphicData uri="http://schemas.microsoft.com/office/word/2010/wordprocessingShape">
                    <wps:wsp>
                      <wps:cNvSpPr/>
                      <wps:spPr>
                        <a:xfrm>
                          <a:off x="0" y="0"/>
                          <a:ext cx="2463165" cy="17907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b/>
                                <w:bCs/>
                              </w:rPr>
                            </w:pPr>
                            <w:r>
                              <w:rPr>
                                <w:b/>
                                <w:bCs/>
                              </w:rPr>
                              <w:t xml:space="preserve">Attitude </w:t>
                            </w:r>
                          </w:p>
                          <w:p>
                            <w:pPr>
                              <w:jc w:val="center"/>
                              <w:rPr>
                                <w:rFonts w:ascii="Times New Roman" w:hAnsi="Times New Roman" w:cs="Times New Roman"/>
                              </w:rPr>
                            </w:pPr>
                            <w:r>
                              <w:rPr>
                                <w:rFonts w:ascii="Times New Roman" w:hAnsi="Times New Roman" w:cs="Times New Roman"/>
                              </w:rPr>
                              <w:t>Opinion on pain assessment</w:t>
                            </w:r>
                          </w:p>
                          <w:p>
                            <w:pPr>
                              <w:jc w:val="center"/>
                              <w:rPr>
                                <w:rFonts w:ascii="Times New Roman" w:hAnsi="Times New Roman" w:cs="Times New Roman"/>
                              </w:rPr>
                            </w:pPr>
                            <w:r>
                              <w:rPr>
                                <w:rFonts w:ascii="Times New Roman" w:hAnsi="Times New Roman" w:cs="Times New Roman"/>
                              </w:rPr>
                              <w:t>Nurses’ belief on pain mgt.</w:t>
                            </w:r>
                          </w:p>
                          <w:p>
                            <w:pPr>
                              <w:jc w:val="center"/>
                              <w:rPr>
                                <w:rFonts w:ascii="Times New Roman" w:hAnsi="Times New Roman" w:cs="Times New Roman"/>
                              </w:rPr>
                            </w:pPr>
                            <w:r>
                              <w:rPr>
                                <w:rFonts w:ascii="Times New Roman" w:hAnsi="Times New Roman" w:cs="Times New Roman"/>
                              </w:rPr>
                              <w:t>Perception about pain &amp; opioids</w:t>
                            </w:r>
                          </w:p>
                          <w:p>
                            <w:pPr>
                              <w:jc w:val="center"/>
                              <w:rPr>
                                <w:rFonts w:ascii="Times New Roman" w:hAnsi="Times New Roman" w:cs="Times New Roman"/>
                              </w:rPr>
                            </w:pPr>
                            <w:r>
                              <w:rPr>
                                <w:rFonts w:ascii="Times New Roman" w:hAnsi="Times New Roman" w:cs="Times New Roman"/>
                              </w:rPr>
                              <w:t xml:space="preserve">Cultural issues </w:t>
                            </w:r>
                          </w:p>
                          <w:p>
                            <w:pPr>
                              <w:jc w:val="center"/>
                            </w:pPr>
                            <w:r>
                              <w:rPr>
                                <w:rFonts w:ascii="Times New Roman" w:hAnsi="Times New Roman" w:cs="Times New Roman"/>
                              </w:rPr>
                              <w:t>Experience on working at surgical ward.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2" o:spid="_x0000_s1026" o:spt="1" style="position:absolute;left:0pt;margin-top:14.55pt;height:141pt;width:193.95pt;mso-position-horizontal:left;mso-position-horizontal-relative:margin;z-index:251669504;v-text-anchor:middle;mso-width-relative:page;mso-height-relative:page;" fillcolor="#FFFFFF [3201]" filled="t" stroked="t" coordsize="21600,21600" o:gfxdata="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gAP+Y9UAAAAHAQAADwAAAAAAAAABACAAAAAiAAAAZHJzL2Rvd25yZXYueG1s&#10;UEsBAhQAFAAAAAgAh07iQBUhRqRtAgAABQUAAA4AAAAAAAAAAQAgAAAAJAEAAGRycy9lMm9Eb2Mu&#10;eG1sUEsFBgAAAAAGAAYAWQEAAAMGAAAAAA==&#10;">
                <v:fill on="t" focussize="0,0"/>
                <v:stroke weight="1pt" color="#000000 [3200]" miterlimit="8" joinstyle="miter"/>
                <v:imagedata o:title=""/>
                <o:lock v:ext="edit" aspectratio="f"/>
                <v:textbox>
                  <w:txbxContent>
                    <w:p>
                      <w:pPr>
                        <w:jc w:val="center"/>
                        <w:rPr>
                          <w:b/>
                          <w:bCs/>
                        </w:rPr>
                      </w:pPr>
                      <w:r>
                        <w:rPr>
                          <w:b/>
                          <w:bCs/>
                        </w:rPr>
                        <w:t xml:space="preserve">Attitude </w:t>
                      </w:r>
                    </w:p>
                    <w:p>
                      <w:pPr>
                        <w:jc w:val="center"/>
                        <w:rPr>
                          <w:rFonts w:ascii="Times New Roman" w:hAnsi="Times New Roman" w:cs="Times New Roman"/>
                        </w:rPr>
                      </w:pPr>
                      <w:r>
                        <w:rPr>
                          <w:rFonts w:ascii="Times New Roman" w:hAnsi="Times New Roman" w:cs="Times New Roman"/>
                        </w:rPr>
                        <w:t>Opinion on pain assessment</w:t>
                      </w:r>
                    </w:p>
                    <w:p>
                      <w:pPr>
                        <w:jc w:val="center"/>
                        <w:rPr>
                          <w:rFonts w:ascii="Times New Roman" w:hAnsi="Times New Roman" w:cs="Times New Roman"/>
                        </w:rPr>
                      </w:pPr>
                      <w:r>
                        <w:rPr>
                          <w:rFonts w:ascii="Times New Roman" w:hAnsi="Times New Roman" w:cs="Times New Roman"/>
                        </w:rPr>
                        <w:t>Nurses’ belief on pain mgt.</w:t>
                      </w:r>
                    </w:p>
                    <w:p>
                      <w:pPr>
                        <w:jc w:val="center"/>
                        <w:rPr>
                          <w:rFonts w:ascii="Times New Roman" w:hAnsi="Times New Roman" w:cs="Times New Roman"/>
                        </w:rPr>
                      </w:pPr>
                      <w:r>
                        <w:rPr>
                          <w:rFonts w:ascii="Times New Roman" w:hAnsi="Times New Roman" w:cs="Times New Roman"/>
                        </w:rPr>
                        <w:t>Perception about pain &amp; opioids</w:t>
                      </w:r>
                    </w:p>
                    <w:p>
                      <w:pPr>
                        <w:jc w:val="center"/>
                        <w:rPr>
                          <w:rFonts w:ascii="Times New Roman" w:hAnsi="Times New Roman" w:cs="Times New Roman"/>
                        </w:rPr>
                      </w:pPr>
                      <w:r>
                        <w:rPr>
                          <w:rFonts w:ascii="Times New Roman" w:hAnsi="Times New Roman" w:cs="Times New Roman"/>
                        </w:rPr>
                        <w:t xml:space="preserve">Cultural issues </w:t>
                      </w:r>
                    </w:p>
                    <w:p>
                      <w:pPr>
                        <w:jc w:val="center"/>
                      </w:pPr>
                      <w:r>
                        <w:rPr>
                          <w:rFonts w:ascii="Times New Roman" w:hAnsi="Times New Roman" w:cs="Times New Roman"/>
                        </w:rPr>
                        <w:t>Experience on working at surgical ward.</w:t>
                      </w:r>
                    </w:p>
                  </w:txbxContent>
                </v:textbox>
              </v:rect>
            </w:pict>
          </mc:Fallback>
        </mc:AlternateContent>
      </w:r>
      <w:r>
        <w:rPr>
          <w:rFonts w:ascii="Times New Roman" w:hAnsi="Times New Roman" w:cs="Times New Roman"/>
          <w:b/>
          <w:bCs/>
        </w:rPr>
        <mc:AlternateContent>
          <mc:Choice Requires="wps">
            <w:drawing>
              <wp:anchor distT="0" distB="0" distL="114300" distR="114300" simplePos="0" relativeHeight="251675648" behindDoc="0" locked="0" layoutInCell="1" allowOverlap="1">
                <wp:simplePos x="0" y="0"/>
                <wp:positionH relativeFrom="margin">
                  <wp:posOffset>2458720</wp:posOffset>
                </wp:positionH>
                <wp:positionV relativeFrom="paragraph">
                  <wp:posOffset>648970</wp:posOffset>
                </wp:positionV>
                <wp:extent cx="1094740" cy="426085"/>
                <wp:effectExtent l="0" t="19050" r="29210" b="31115"/>
                <wp:wrapNone/>
                <wp:docPr id="1477008883" name="Arrow: Right 1"/>
                <wp:cNvGraphicFramePr/>
                <a:graphic xmlns:a="http://schemas.openxmlformats.org/drawingml/2006/main">
                  <a:graphicData uri="http://schemas.microsoft.com/office/word/2010/wordprocessingShape">
                    <wps:wsp>
                      <wps:cNvSpPr/>
                      <wps:spPr>
                        <a:xfrm>
                          <a:off x="0" y="0"/>
                          <a:ext cx="1094740" cy="426223"/>
                        </a:xfrm>
                        <a:prstGeom prst="rightArrow">
                          <a:avLst>
                            <a:gd name="adj1" fmla="val 50000"/>
                            <a:gd name="adj2" fmla="val 56142"/>
                          </a:avLst>
                        </a:prstGeom>
                        <a:solidFill>
                          <a:sysClr val="window" lastClr="FFFFFF"/>
                        </a:solidFill>
                        <a:ln w="12700" cap="flat" cmpd="sng" algn="ctr">
                          <a:solidFill>
                            <a:sysClr val="windowText" lastClr="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Right 1" o:spid="_x0000_s1026" o:spt="13" type="#_x0000_t13" style="position:absolute;left:0pt;margin-left:193.6pt;margin-top:51.1pt;height:33.55pt;width:86.2pt;mso-position-horizontal-relative:margin;z-index:251675648;v-text-anchor:middle;mso-width-relative:page;mso-height-relative:page;" fillcolor="#FFFFFF" filled="t" stroked="t" coordsize="21600,21600" o:gfxdata="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fS/8n2QAAAAsBAAAPAAAAAAAAAAEAIAAAACIAAABkcnMv&#10;ZG93bnJldi54bWxQSwECFAAUAAAACACHTuJAQhB0Tq0CAACXBQAADgAAAAAAAAABACAAAAAoAQAA&#10;ZHJzL2Uyb0RvYy54bWxQSwUGAAAAAAYABgBZAQAARwYAAAAA&#10;" adj="16879,5400">
                <v:fill on="t" focussize="0,0"/>
                <v:stroke weight="1pt" color="#000000" miterlimit="8" joinstyle="miter"/>
                <v:imagedata o:title=""/>
                <o:lock v:ext="edit" aspectratio="f"/>
                <v:textbox>
                  <w:txbxContent>
                    <w:p>
                      <w:pPr>
                        <w:jc w:val="center"/>
                      </w:pP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2576" behindDoc="0" locked="0" layoutInCell="1" allowOverlap="1">
                <wp:simplePos x="0" y="0"/>
                <wp:positionH relativeFrom="margin">
                  <wp:posOffset>3569970</wp:posOffset>
                </wp:positionH>
                <wp:positionV relativeFrom="paragraph">
                  <wp:posOffset>7620</wp:posOffset>
                </wp:positionV>
                <wp:extent cx="2733675" cy="1685925"/>
                <wp:effectExtent l="0" t="0" r="28575" b="10160"/>
                <wp:wrapNone/>
                <wp:docPr id="46" name="Rectangle 46"/>
                <wp:cNvGraphicFramePr/>
                <a:graphic xmlns:a="http://schemas.openxmlformats.org/drawingml/2006/main">
                  <a:graphicData uri="http://schemas.microsoft.com/office/word/2010/wordprocessingShape">
                    <wps:wsp>
                      <wps:cNvSpPr/>
                      <wps:spPr>
                        <a:xfrm>
                          <a:off x="0" y="0"/>
                          <a:ext cx="2733675" cy="1685677"/>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ascii="Times New Roman" w:hAnsi="Times New Roman" w:cs="Times New Roman"/>
                                <w:b/>
                                <w:bCs/>
                              </w:rPr>
                            </w:pPr>
                            <w:r>
                              <w:rPr>
                                <w:rFonts w:ascii="Times New Roman" w:hAnsi="Times New Roman" w:cs="Times New Roman"/>
                                <w:b/>
                                <w:bCs/>
                              </w:rPr>
                              <w:t xml:space="preserve">Practices </w:t>
                            </w:r>
                          </w:p>
                          <w:p>
                            <w:pPr>
                              <w:jc w:val="center"/>
                              <w:rPr>
                                <w:rFonts w:ascii="Times New Roman" w:hAnsi="Times New Roman" w:cs="Times New Roman"/>
                              </w:rPr>
                            </w:pPr>
                            <w:r>
                              <w:rPr>
                                <w:rFonts w:ascii="Times New Roman" w:hAnsi="Times New Roman" w:cs="Times New Roman"/>
                              </w:rPr>
                              <w:t xml:space="preserve">Working experience </w:t>
                            </w:r>
                          </w:p>
                          <w:p>
                            <w:pPr>
                              <w:jc w:val="center"/>
                              <w:rPr>
                                <w:rFonts w:ascii="Times New Roman" w:hAnsi="Times New Roman" w:cs="Times New Roman"/>
                              </w:rPr>
                            </w:pPr>
                            <w:r>
                              <w:rPr>
                                <w:rFonts w:ascii="Times New Roman" w:hAnsi="Times New Roman" w:cs="Times New Roman"/>
                              </w:rPr>
                              <w:t xml:space="preserve">Experience on working at surgical ward. </w:t>
                            </w:r>
                          </w:p>
                          <w:p>
                            <w:pPr>
                              <w:jc w:val="center"/>
                              <w:rPr>
                                <w:rFonts w:ascii="Times New Roman" w:hAnsi="Times New Roman" w:cs="Times New Roman"/>
                              </w:rPr>
                            </w:pPr>
                            <w:r>
                              <w:rPr>
                                <w:rFonts w:ascii="Times New Roman" w:hAnsi="Times New Roman" w:cs="Times New Roman"/>
                              </w:rPr>
                              <w:t xml:space="preserve">Experience on carrying out pain assessment.  </w:t>
                            </w:r>
                          </w:p>
                          <w:p>
                            <w:pPr>
                              <w:jc w:val="center"/>
                              <w:rPr>
                                <w:rFonts w:ascii="Times New Roman" w:hAnsi="Times New Roman" w:cs="Times New Roman"/>
                              </w:rPr>
                            </w:pPr>
                            <w:r>
                              <w:rPr>
                                <w:rFonts w:ascii="Times New Roman" w:hAnsi="Times New Roman" w:cs="Times New Roman"/>
                              </w:rPr>
                              <w:t>Use of pain assessment tools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6" o:spid="_x0000_s1026" o:spt="1" style="position:absolute;left:0pt;margin-left:281.1pt;margin-top:0.6pt;height:132.75pt;width:215.25pt;mso-position-horizontal-relative:margin;z-index:251672576;v-text-anchor:middle;mso-width-relative:page;mso-height-relative:page;" fillcolor="#FFFFFF [3201]" filled="t" stroked="t" coordsize="21600,21600" o:gfxdata="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8s1KrWAAAACQEAAA8AAAAAAAAAAQAgAAAAIgAAAGRycy9kb3ducmV2Lnht&#10;bFBLAQIUABQAAAAIAIdO4kCOrhCVbQIAAAUFAAAOAAAAAAAAAAEAIAAAACUBAABkcnMvZTJvRG9j&#10;LnhtbFBLBQYAAAAABgAGAFkBAAAEBgAAAAA=&#10;">
                <v:fill on="t" focussize="0,0"/>
                <v:stroke weight="1pt" color="#000000 [3200]" miterlimit="8" joinstyle="miter"/>
                <v:imagedata o:title=""/>
                <o:lock v:ext="edit" aspectratio="f"/>
                <v:textbox>
                  <w:txbxContent>
                    <w:p>
                      <w:pPr>
                        <w:jc w:val="center"/>
                        <w:rPr>
                          <w:rFonts w:ascii="Times New Roman" w:hAnsi="Times New Roman" w:cs="Times New Roman"/>
                          <w:b/>
                          <w:bCs/>
                        </w:rPr>
                      </w:pPr>
                      <w:r>
                        <w:rPr>
                          <w:rFonts w:ascii="Times New Roman" w:hAnsi="Times New Roman" w:cs="Times New Roman"/>
                          <w:b/>
                          <w:bCs/>
                        </w:rPr>
                        <w:t xml:space="preserve">Practices </w:t>
                      </w:r>
                    </w:p>
                    <w:p>
                      <w:pPr>
                        <w:jc w:val="center"/>
                        <w:rPr>
                          <w:rFonts w:ascii="Times New Roman" w:hAnsi="Times New Roman" w:cs="Times New Roman"/>
                        </w:rPr>
                      </w:pPr>
                      <w:r>
                        <w:rPr>
                          <w:rFonts w:ascii="Times New Roman" w:hAnsi="Times New Roman" w:cs="Times New Roman"/>
                        </w:rPr>
                        <w:t xml:space="preserve">Working experience </w:t>
                      </w:r>
                    </w:p>
                    <w:p>
                      <w:pPr>
                        <w:jc w:val="center"/>
                        <w:rPr>
                          <w:rFonts w:ascii="Times New Roman" w:hAnsi="Times New Roman" w:cs="Times New Roman"/>
                        </w:rPr>
                      </w:pPr>
                      <w:r>
                        <w:rPr>
                          <w:rFonts w:ascii="Times New Roman" w:hAnsi="Times New Roman" w:cs="Times New Roman"/>
                        </w:rPr>
                        <w:t xml:space="preserve">Experience on working at surgical ward. </w:t>
                      </w:r>
                    </w:p>
                    <w:p>
                      <w:pPr>
                        <w:jc w:val="center"/>
                        <w:rPr>
                          <w:rFonts w:ascii="Times New Roman" w:hAnsi="Times New Roman" w:cs="Times New Roman"/>
                        </w:rPr>
                      </w:pPr>
                      <w:r>
                        <w:rPr>
                          <w:rFonts w:ascii="Times New Roman" w:hAnsi="Times New Roman" w:cs="Times New Roman"/>
                        </w:rPr>
                        <w:t xml:space="preserve">Experience on carrying out pain assessment.  </w:t>
                      </w:r>
                    </w:p>
                    <w:p>
                      <w:pPr>
                        <w:jc w:val="center"/>
                        <w:rPr>
                          <w:rFonts w:ascii="Times New Roman" w:hAnsi="Times New Roman" w:cs="Times New Roman"/>
                        </w:rPr>
                      </w:pPr>
                      <w:r>
                        <w:rPr>
                          <w:rFonts w:ascii="Times New Roman" w:hAnsi="Times New Roman" w:cs="Times New Roman"/>
                        </w:rPr>
                        <w:t>Use of pain assessment tools</w:t>
                      </w:r>
                    </w:p>
                  </w:txbxContent>
                </v:textbox>
              </v:rect>
            </w:pict>
          </mc:Fallback>
        </mc:AlternateContent>
      </w:r>
    </w:p>
    <w:p>
      <w:pPr>
        <w:pStyle w:val="4"/>
        <w:ind w:left="720" w:right="720" w:firstLine="720"/>
        <w:rPr>
          <w:rFonts w:ascii="Times New Roman" w:hAnsi="Times New Roman" w:cs="Times New Roman"/>
          <w:b/>
          <w:bCs/>
          <w:color w:val="auto"/>
        </w:rPr>
      </w:pPr>
      <w:bookmarkStart w:id="48" w:name="_Toc134608268"/>
      <w:bookmarkStart w:id="49" w:name="_Toc134604137"/>
    </w:p>
    <w:p>
      <w:pPr>
        <w:pStyle w:val="4"/>
        <w:ind w:left="720" w:right="720" w:firstLine="720"/>
        <w:rPr>
          <w:rFonts w:ascii="Times New Roman" w:hAnsi="Times New Roman" w:cs="Times New Roman"/>
          <w:b/>
          <w:bCs/>
          <w:color w:val="auto"/>
        </w:rPr>
      </w:pPr>
    </w:p>
    <w:p>
      <w:pPr>
        <w:pStyle w:val="4"/>
        <w:ind w:left="720" w:right="720" w:firstLine="720"/>
        <w:rPr>
          <w:rFonts w:ascii="Times New Roman" w:hAnsi="Times New Roman" w:cs="Times New Roman"/>
          <w:b/>
          <w:bCs/>
          <w:color w:val="auto"/>
        </w:rPr>
      </w:pPr>
    </w:p>
    <w:p>
      <w:pPr>
        <w:pStyle w:val="4"/>
        <w:ind w:left="720" w:right="720" w:firstLine="720"/>
        <w:rPr>
          <w:rFonts w:ascii="Times New Roman" w:hAnsi="Times New Roman" w:cs="Times New Roman"/>
          <w:b/>
          <w:bCs/>
          <w:color w:val="auto"/>
        </w:rPr>
      </w:pPr>
    </w:p>
    <w:p>
      <w:pPr>
        <w:pStyle w:val="4"/>
        <w:ind w:left="720" w:right="720" w:firstLine="720"/>
        <w:rPr>
          <w:rFonts w:ascii="Times New Roman" w:hAnsi="Times New Roman" w:cs="Times New Roman"/>
          <w:b/>
          <w:bCs/>
          <w:color w:val="auto"/>
        </w:rPr>
      </w:pPr>
    </w:p>
    <w:p/>
    <w:p/>
    <w:p>
      <w:pPr>
        <w:pStyle w:val="4"/>
        <w:ind w:left="720" w:right="720" w:firstLine="720"/>
        <w:rPr>
          <w:rFonts w:ascii="Times New Roman" w:hAnsi="Times New Roman" w:cs="Times New Roman"/>
          <w:b/>
          <w:bCs/>
          <w:color w:val="auto"/>
        </w:rPr>
      </w:pPr>
      <w:bookmarkStart w:id="50" w:name="_Toc142753389"/>
      <w:r>
        <w:rPr>
          <w:rFonts w:ascii="Times New Roman" w:hAnsi="Times New Roman" w:cs="Times New Roman"/>
          <w:b/>
          <w:bCs/>
          <w:color w:val="auto"/>
        </w:rPr>
        <w:t>The conceptual framework is described.</w:t>
      </w:r>
      <w:bookmarkEnd w:id="48"/>
      <w:bookmarkEnd w:id="49"/>
      <w:bookmarkEnd w:id="50"/>
    </w:p>
    <w:p>
      <w:pPr>
        <w:tabs>
          <w:tab w:val="left" w:pos="90"/>
        </w:tabs>
        <w:spacing w:before="100" w:beforeAutospacing="1" w:after="100" w:afterAutospacing="1" w:line="480" w:lineRule="auto"/>
        <w:ind w:left="90"/>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The conceptual framework explains how the dependent and independent variables are related. Post-operative pain management is the dependent variable, and nurses' knowledge, attitude, and practice are the independent variables. On the dependent variable, the independent factors have an effect. The nurse’s knowledge on pain assessment, use of pain scale, pain management, and the continuous professional education development and audits have an impact on post-operative pain management.</w:t>
      </w:r>
    </w:p>
    <w:p>
      <w:pPr>
        <w:tabs>
          <w:tab w:val="left" w:pos="9360"/>
        </w:tabs>
        <w:spacing w:before="100" w:beforeAutospacing="1" w:after="100" w:afterAutospacing="1" w:line="480" w:lineRule="auto"/>
        <w:ind w:firstLine="630"/>
        <w:jc w:val="both"/>
        <w:rPr>
          <w:rFonts w:ascii="Times New Roman" w:hAnsi="Times New Roman" w:cs="Times New Roman"/>
          <w:b/>
          <w:bCs/>
          <w:sz w:val="24"/>
          <w:szCs w:val="24"/>
        </w:rPr>
      </w:pPr>
      <w:r>
        <w:rPr>
          <w:rFonts w:ascii="Times New Roman" w:hAnsi="Times New Roman" w:cs="Times New Roman"/>
          <w:sz w:val="24"/>
          <w:szCs w:val="24"/>
        </w:rPr>
        <w:t>Similarly, the nurse’s attitude as regards opinion on pain assessment, beliefs on pain management, perception about pain and opioids, and cultural issues impact post-operative pain management. The positive attitude of the nurses will inspire them to carry out pain assessment and thereafter manage it to tolerable levels among post-operative patients. Additionally, nursing practices in relation to the experience in assessing and managing pain, working experience, experience on working at the surgical ward, and the confidence in the use of pain assessment tools will influence the nurse’s practice of pain assessment and management.</w:t>
      </w:r>
    </w:p>
    <w:p>
      <w:pPr>
        <w:pStyle w:val="3"/>
        <w:rPr>
          <w:rFonts w:ascii="Times New Roman" w:hAnsi="Times New Roman" w:cs="Times New Roman"/>
          <w:b w:val="0"/>
          <w:sz w:val="24"/>
          <w:szCs w:val="24"/>
        </w:rPr>
      </w:pPr>
      <w:bookmarkStart w:id="51" w:name="_Toc142753390"/>
      <w:bookmarkStart w:id="52" w:name="_Toc134604138"/>
      <w:r>
        <w:rPr>
          <w:rFonts w:ascii="Times New Roman" w:hAnsi="Times New Roman" w:cs="Times New Roman"/>
          <w:sz w:val="24"/>
          <w:szCs w:val="24"/>
        </w:rPr>
        <w:t>Theoretical Framework</w:t>
      </w:r>
      <w:bookmarkEnd w:id="51"/>
      <w:bookmarkEnd w:id="52"/>
    </w:p>
    <w:p>
      <w:pPr>
        <w:tabs>
          <w:tab w:val="left" w:pos="9360"/>
        </w:tabs>
        <w:spacing w:before="100" w:beforeAutospacing="1" w:after="100" w:afterAutospacing="1" w:line="480" w:lineRule="auto"/>
        <w:ind w:firstLine="630"/>
        <w:jc w:val="both"/>
        <w:rPr>
          <w:rFonts w:ascii="Times New Roman" w:hAnsi="Times New Roman" w:cs="Times New Roman"/>
          <w:sz w:val="24"/>
          <w:szCs w:val="24"/>
        </w:rPr>
      </w:pPr>
      <w:r>
        <w:rPr>
          <w:rFonts w:ascii="Times New Roman" w:hAnsi="Times New Roman" w:cs="Times New Roman"/>
          <w:color w:val="212529"/>
          <w:sz w:val="24"/>
          <w:szCs w:val="24"/>
        </w:rPr>
        <w:t>The theoretical framework is based on tried-and-true hypotheses that represent the results of various inquiries into the causes of events. The theoretical framework offers a broad depiction of how several elements interact in a particular phenomenon. Clinical coaching in nursing and midwifery by</w:t>
      </w:r>
      <w:r>
        <w:rPr>
          <w:rFonts w:ascii="Times New Roman" w:hAnsi="Times New Roman" w:cs="Times New Roman"/>
          <w:b/>
          <w:color w:val="212529"/>
          <w:sz w:val="24"/>
          <w:szCs w:val="24"/>
        </w:rPr>
        <w:t xml:space="preserve"> </w:t>
      </w:r>
      <w:r>
        <w:rPr>
          <w:rFonts w:ascii="Times New Roman" w:hAnsi="Times New Roman" w:cs="Times New Roman"/>
          <w:bCs/>
          <w:color w:val="212529"/>
          <w:sz w:val="24"/>
          <w:szCs w:val="24"/>
        </w:rPr>
        <w:fldChar w:fldCharType="begin" w:fldLock="1"/>
      </w:r>
      <w:r>
        <w:rPr>
          <w:rFonts w:ascii="Times New Roman" w:hAnsi="Times New Roman" w:cs="Times New Roman"/>
          <w:bCs/>
          <w:color w:val="212529"/>
          <w:sz w:val="24"/>
          <w:szCs w:val="24"/>
        </w:rPr>
        <w:instrText xml:space="preserve">ADDIN CSL_CITATION {"citationItems":[{"id":"ITEM-1","itemData":{"abstract":"Contemporary demands for workplace learning and development in real time have guided one health service to create a new role, that of the clinical coach. Clinical coaches provide point of care educational interventions to achieve clinical skill and practice development for nurses and midwives and to stimulate a culture of learning and development within the organisation. Clinical coaches use coaching processes and mantras, facilitation skills, practice development principles, adult learning strategies, supported practice and clinical assessment tools to achieve these goals within a person-centred philosophy. Specific point of care accountabilities of the coaches related to staff development include supporting clinical induction requirements, supporting preceptor and learner practices, supporting evidence-based clinical development, ensuring that mandatory training requirements are met, and coaching for the maintenance of safe and competent practice.","author":[{"dropping-particle":"","family":"A.Faithfull-Byrne, L. Thompson, K., w. Scafer, M. Williamson, W. Cross","given":"C. Moss","non-dropping-particle":"","parse-names":false,"suffix":""}],"container-title":"Australian College of Nursing","id":"ITEM-1","issued":{"date-parts":[["2017"]]},"title":"Clinical coaches in nursing and midwifery practice: Facilitating point of care workplace learning and development","type":"article-journal"},"uris":["http://www.mendeley.com/documents/?uuid=c4b8235f-acf7-4724-ba90-090c6338c036"]}],"mendeley":{"formattedCitation":"(A.Faithfull-Byrne, L. Thompson, K., w. Scafer, M. Williamson, W. Cross, 2017)","manualFormatting":"Faithfull-Byrne, Thompson, Schafer, Williamson and Cross (2017)","plainTextFormattedCitation":"(A.Faithfull-Byrne, L. Thompson, K., w. Scafer, M. Williamson, W. Cross, 2017)","previouslyFormattedCitation":"(A.Faithfull-Byrne, L. Thompson, K., w. Scafer, M. Williamson, W. Cross, 2017)"},"properties":{"noteIndex":0},"schema":"https://github.com/citation-style-language/schema/raw/master/csl-citation.json"}</w:instrText>
      </w:r>
      <w:r>
        <w:rPr>
          <w:rFonts w:ascii="Times New Roman" w:hAnsi="Times New Roman" w:cs="Times New Roman"/>
          <w:bCs/>
          <w:color w:val="212529"/>
          <w:sz w:val="24"/>
          <w:szCs w:val="24"/>
        </w:rPr>
        <w:fldChar w:fldCharType="separate"/>
      </w:r>
      <w:r>
        <w:rPr>
          <w:rFonts w:ascii="Times New Roman" w:hAnsi="Times New Roman" w:cs="Times New Roman"/>
          <w:bCs/>
          <w:color w:val="212529"/>
          <w:sz w:val="24"/>
          <w:szCs w:val="24"/>
        </w:rPr>
        <w:t>Faithfull-Byrne, Thompson, Schafer, Williamson, and Cross (2017)</w:t>
      </w:r>
      <w:r>
        <w:rPr>
          <w:rFonts w:ascii="Times New Roman" w:hAnsi="Times New Roman" w:cs="Times New Roman"/>
          <w:bCs/>
          <w:color w:val="212529"/>
          <w:sz w:val="24"/>
          <w:szCs w:val="24"/>
        </w:rPr>
        <w:fldChar w:fldCharType="end"/>
      </w:r>
      <w:r>
        <w:rPr>
          <w:rFonts w:ascii="Times New Roman" w:hAnsi="Times New Roman" w:cs="Times New Roman"/>
          <w:color w:val="212529"/>
          <w:sz w:val="24"/>
          <w:szCs w:val="24"/>
        </w:rPr>
        <w:t xml:space="preserve"> </w:t>
      </w:r>
      <w:r>
        <w:rPr>
          <w:rFonts w:ascii="Times New Roman" w:hAnsi="Times New Roman" w:cs="Times New Roman"/>
          <w:sz w:val="24"/>
          <w:szCs w:val="24"/>
        </w:rPr>
        <w:t>in this study will be the theory of choice. The research of enhancing nursing practice in terms of post-operative pain management is well related to clinical coaching, which is empowering staff and professional development that results in service improvement. Additionally, the nurses and midwives working in the surgical wards must make the transition from treating postoperative pain without determining its severity and only administering medications on the doctor's prescription. This necessitates a change to a more contemporary approach whereby post-operative pain is evaluated by nurses before analgesia is given. Coaching is characterized by empowering people to accept accountability for themselves, make required changes in their personal and professional lives, and take personal responsibility. Additionally, coaching validates the idea that achieving both corporate performance and personal fulfillment is possible</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 xml:space="preserve">ADDIN CSL_CITATION {"citationItems":[{"id":"ITEM-1","itemData":{"DOI":"10.5430/jnep.v6n6p41","ISSN":"1925-4040","abstract":"The theory of clinical coaching has growing significance within the profession of nursing. Due to increasing turnover rates and decreasing retention rates of novice nurses has amplified the need for clinical coaching by expert nurses. By equipping the expert nurse with the knowledge, skills, and behaviors which promotes the legacy of leadership and professional development in nursing practice, effective clinical coaching will foster supportive, professional relationships, and lead to excellent patient care standards.","author":[{"dropping-particle":"","family":"A. Walker-Reed","given":"Cynthia","non-dropping-particle":"","parse-names":false,"suffix":""}],"container-title":"Journal of Nursing Education and Practice","id":"ITEM-1","issue":"6","issued":{"date-parts":[["2016"]]},"page":"41-47","title":"Clinical coaching: The means to achieving a legacy of leadership and proffesional development in nursing practice","type":"article-journal","volume":"6"},"uris":["http://www.mendeley.com/documents/?uuid=4340c793-b4ba-4100-ad89-9eaa1d7c14a7"]}],"mendeley":{"formattedCitation":"(A. Walker-Reed, 2016)","plainTextFormattedCitation":"(A. Walker-Reed, 2016)","previouslyFormattedCitation":"(A. Walker-Reed, 2016)"},"properties":{"noteIndex":0},"schema":"https://github.com/citation-style-language/schema/raw/master/csl-citation.json"}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sz w:val="24"/>
          <w:szCs w:val="24"/>
        </w:rPr>
        <w:t>(A. Walker-Reed, 2016)</w:t>
      </w:r>
      <w:r>
        <w:rPr>
          <w:rFonts w:ascii="Times New Roman" w:hAnsi="Times New Roman" w:cs="Times New Roman"/>
          <w:bCs/>
          <w:sz w:val="24"/>
          <w:szCs w:val="24"/>
        </w:rPr>
        <w:fldChar w:fldCharType="end"/>
      </w:r>
      <w:r>
        <w:rPr>
          <w:rFonts w:ascii="Times New Roman" w:hAnsi="Times New Roman" w:cs="Times New Roman"/>
          <w:bCs/>
          <w:sz w:val="24"/>
          <w:szCs w:val="24"/>
        </w:rPr>
        <w:t>.</w:t>
      </w:r>
    </w:p>
    <w:p>
      <w:pPr>
        <w:pStyle w:val="17"/>
        <w:shd w:val="clear" w:color="auto" w:fill="FFFFFF"/>
        <w:tabs>
          <w:tab w:val="left" w:pos="9360"/>
        </w:tabs>
        <w:spacing w:before="0" w:beforeAutospacing="0" w:line="480" w:lineRule="auto"/>
        <w:jc w:val="both"/>
        <w:rPr>
          <w:b/>
          <w:bCs/>
        </w:rPr>
      </w:pPr>
      <w:r>
        <w:rPr>
          <w:b/>
          <w:bCs/>
        </w:rPr>
        <w:t>The context of coaching.</w:t>
      </w:r>
    </w:p>
    <w:p>
      <w:pPr>
        <w:tabs>
          <w:tab w:val="left" w:pos="9360"/>
        </w:tabs>
        <w:spacing w:before="100" w:beforeAutospacing="1" w:after="100" w:afterAutospacing="1" w:line="480" w:lineRule="auto"/>
        <w:ind w:firstLine="630"/>
        <w:jc w:val="both"/>
        <w:rPr>
          <w:rFonts w:ascii="Times New Roman" w:hAnsi="Times New Roman" w:cs="Times New Roman"/>
          <w:sz w:val="24"/>
          <w:szCs w:val="24"/>
        </w:rPr>
      </w:pPr>
      <w:r>
        <w:rPr>
          <w:rFonts w:ascii="Times New Roman" w:hAnsi="Times New Roman" w:cs="Times New Roman"/>
          <w:sz w:val="24"/>
          <w:szCs w:val="24"/>
        </w:rPr>
        <w:t>The intervention will concentrate on the midwives and nurses who work in the surgical wards. By administering a pretest to serve as a baseline for the training, the theory will assist the researcher in evaluating the nurse's knowledge, attitude, and practice prior to the educational intervention.</w:t>
      </w:r>
      <w:r>
        <w:rPr>
          <w:rFonts w:ascii="Times New Roman" w:hAnsi="Times New Roman" w:cs="Times New Roman"/>
          <w:sz w:val="24"/>
          <w:szCs w:val="24"/>
          <w:shd w:val="clear" w:color="auto" w:fill="FFFFFF"/>
        </w:rPr>
        <w:t xml:space="preserve"> The theory continues to explain that coaching solves </w:t>
      </w:r>
      <w:r>
        <w:rPr>
          <w:rFonts w:ascii="Times New Roman" w:hAnsi="Times New Roman" w:cs="Times New Roman"/>
          <w:sz w:val="24"/>
          <w:szCs w:val="24"/>
        </w:rPr>
        <w:t>the great demand for bedside training and support of unregulated health care workers like nurses and midwives in post-operative pain management. The intervention of using the pain assessment scale in the post-operative nursing management of pain will benefit more from the application of Faithfull-Bryne theory of clinical coaching in nursing and midwifery.</w:t>
      </w:r>
    </w:p>
    <w:p>
      <w:pPr>
        <w:pStyle w:val="17"/>
        <w:shd w:val="clear" w:color="auto" w:fill="FFFFFF"/>
        <w:tabs>
          <w:tab w:val="left" w:pos="9360"/>
        </w:tabs>
        <w:spacing w:before="0" w:beforeAutospacing="0" w:line="480" w:lineRule="auto"/>
        <w:ind w:firstLine="630"/>
        <w:jc w:val="both"/>
        <w:rPr>
          <w:rFonts w:eastAsiaTheme="minorHAnsi"/>
          <w:shd w:val="clear" w:color="auto" w:fill="FFFFFF"/>
        </w:rPr>
      </w:pPr>
      <w:r>
        <w:rPr>
          <w:b/>
          <w:bCs/>
          <w:shd w:val="clear" w:color="auto" w:fill="FFFFFF"/>
        </w:rPr>
        <w:t>Clinical coach for nurses and midwives</w:t>
      </w:r>
      <w:r>
        <w:rPr>
          <w:rFonts w:eastAsiaTheme="minorHAnsi"/>
          <w:shd w:val="clear" w:color="auto" w:fill="FFFFFF"/>
        </w:rPr>
        <w:t xml:space="preserve">. </w:t>
      </w:r>
    </w:p>
    <w:p>
      <w:pPr>
        <w:tabs>
          <w:tab w:val="left" w:pos="9360"/>
        </w:tabs>
        <w:spacing w:before="100" w:beforeAutospacing="1" w:after="100" w:afterAutospacing="1" w:line="480" w:lineRule="auto"/>
        <w:ind w:firstLine="63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According to Faithfull-Bryne et al. (2017), clinical coaches deliver educational interventions to nurses and midwives at their workplaces during practice to help them attain clinical skills and practice. Similarly, the theory is going to help the researcher teach the nurses when and how to assess for post-operative pain, how to provide suitable post-operative nursing care, and how to manage post-operative pain. </w:t>
      </w:r>
    </w:p>
    <w:p>
      <w:pPr>
        <w:tabs>
          <w:tab w:val="left" w:pos="9360"/>
        </w:tabs>
        <w:spacing w:before="100" w:beforeAutospacing="1" w:after="100" w:afterAutospacing="1" w:line="480" w:lineRule="auto"/>
        <w:ind w:firstLine="630"/>
        <w:jc w:val="both"/>
        <w:rPr>
          <w:rFonts w:ascii="Times New Roman" w:hAnsi="Times New Roman" w:cs="Times New Roman"/>
          <w:b/>
          <w:bCs/>
          <w:sz w:val="24"/>
          <w:szCs w:val="24"/>
        </w:rPr>
      </w:pPr>
      <w:r>
        <w:rPr>
          <w:rFonts w:ascii="Times New Roman" w:hAnsi="Times New Roman" w:cs="Times New Roman"/>
          <w:b/>
          <w:bCs/>
          <w:sz w:val="24"/>
          <w:szCs w:val="24"/>
          <w:shd w:val="clear" w:color="auto" w:fill="FFFFFF"/>
        </w:rPr>
        <w:t>Using clinical coaching skills.</w:t>
      </w:r>
    </w:p>
    <w:p>
      <w:pPr>
        <w:tabs>
          <w:tab w:val="left" w:pos="9360"/>
        </w:tabs>
        <w:spacing w:before="100" w:beforeAutospacing="1" w:after="100" w:afterAutospacing="1" w:line="480" w:lineRule="auto"/>
        <w:ind w:firstLine="63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 accomplish these objectives within the framework of person-centered thinking, clinical coaches make use of coaching techniques and mantras, facilitation abilities, practice development concepts, adult learning methodologies, supported practice, and clinical assessment tools. As a similar educational intervention, the research will instruct nurses and midwives in the surgical ward on how to utilize a pain assessment scale in the daily post-operative nursing treatment of pain. The researcher will give the group instructional aids such charts for evaluating pain, books on the subject, and the pain assessment scale. The researcher will also instruct and mentor the nurses and midwives in the clinical techniques for measuring pain, including allowing patient self-reports (the gold standard), ensuring observer assessment by watching the patient's behavior, checking the patient's vital signs, and performing functional assessment. The researcher will advise them to always pay attention to and take seriously patients' complaints about post-operative pain. Additionally, the researcher will instruct and advise them on how to collect information on their pain, including provocation, comforting, quality, quantity, region, radiation, severity, time, therapy, and knowledge of the underlying causes.</w:t>
      </w:r>
    </w:p>
    <w:p>
      <w:pPr>
        <w:tabs>
          <w:tab w:val="left" w:pos="9360"/>
        </w:tabs>
        <w:spacing w:before="100" w:beforeAutospacing="1" w:after="100" w:afterAutospacing="1" w:line="480" w:lineRule="auto"/>
        <w:ind w:firstLine="630"/>
        <w:jc w:val="both"/>
        <w:rPr>
          <w:rFonts w:ascii="Times New Roman" w:hAnsi="Times New Roman" w:cs="Times New Roman"/>
          <w:sz w:val="24"/>
          <w:szCs w:val="24"/>
        </w:rPr>
      </w:pPr>
      <w:r>
        <w:rPr>
          <w:rFonts w:ascii="Times New Roman" w:hAnsi="Times New Roman" w:cs="Times New Roman"/>
          <w:sz w:val="24"/>
          <w:szCs w:val="24"/>
          <w:shd w:val="clear" w:color="auto" w:fill="FFFFFF"/>
        </w:rPr>
        <w:t>The usage of the pain assessment scale will then be demonstrated, and their progress will be continuously monitored and evaluated with prompt feedback. A posttest to assess the impact of the education intervention will cap off the research at the conclusion of the training. The nurses' participation will be the key in this situation, with the researcher serving more as a facilitator than a teacher.</w:t>
      </w:r>
    </w:p>
    <w:p>
      <w:pPr>
        <w:tabs>
          <w:tab w:val="left" w:pos="9360"/>
        </w:tabs>
        <w:spacing w:before="100" w:beforeAutospacing="1" w:after="100" w:afterAutospacing="1" w:line="480" w:lineRule="auto"/>
        <w:ind w:firstLine="630"/>
        <w:jc w:val="both"/>
        <w:rPr>
          <w:rFonts w:ascii="Times New Roman" w:hAnsi="Times New Roman" w:cs="Times New Roman"/>
          <w:b/>
          <w:bCs/>
          <w:sz w:val="24"/>
          <w:szCs w:val="24"/>
        </w:rPr>
      </w:pPr>
      <w:r>
        <w:rPr>
          <w:rFonts w:ascii="Times New Roman" w:hAnsi="Times New Roman" w:cs="Times New Roman"/>
          <w:b/>
          <w:bCs/>
          <w:sz w:val="24"/>
          <w:szCs w:val="24"/>
        </w:rPr>
        <w:t>The Clinical framework output.</w:t>
      </w:r>
    </w:p>
    <w:p>
      <w:pPr>
        <w:pStyle w:val="17"/>
        <w:shd w:val="clear" w:color="auto" w:fill="FFFFFF"/>
        <w:tabs>
          <w:tab w:val="left" w:pos="9360"/>
        </w:tabs>
        <w:spacing w:before="0" w:beforeAutospacing="0" w:line="480" w:lineRule="auto"/>
        <w:ind w:firstLine="630"/>
        <w:jc w:val="both"/>
        <w:rPr>
          <w:b/>
          <w:bCs/>
        </w:rPr>
      </w:pPr>
      <w:r>
        <w:t>Therefore, in terms of post-operative pain management, this theory will contribute to personal and professional growth through critical thinking, creativity, self-confidence, assertiveness, effective communication, objectivity, and pain assessment abilities. The nurses will be able to select the best post-operative pain management strategy by listening to the patient's account of their discomfort. As a result, this will serve as a benchmark or guidance in selecting the best nursing care, leading to an improvement in the postoperative pain management process. According to institutional data, institutional coaching is necessary to increase the quality of care, job satisfaction, retention, and professionalism. Therefore, clinical coaching is an economical strategy to increase staff capability, transfer knowledge, and keep motivated employees</w:t>
      </w:r>
      <w:r>
        <w:rPr>
          <w:b/>
          <w:shd w:val="clear" w:color="auto" w:fill="FFFFFF"/>
        </w:rPr>
        <w:fldChar w:fldCharType="begin" w:fldLock="1"/>
      </w:r>
      <w:r>
        <w:rPr>
          <w:b/>
          <w:shd w:val="clear" w:color="auto" w:fill="FFFFFF"/>
        </w:rPr>
        <w:instrText xml:space="preserve">ADDIN CSL_CITATION {"citationItems":[{"id":"ITEM-1","itemData":{"DOI":"10.1016/j.nepr.2015.03.001","ISSN":"14715953","PMID":"25892367","abstract":"This paper will describe the experiences and perception of a cohort of trainee Advanced Midwifery Practitioners (AMP's) during their training on an MSc in Advanced Practice. The educational philosophy underpinning the master's programme is interprofessional learning linked closely to work based learning and assessment. The focus group explored how the AMP's were developing core competencies within four domains: 1. Clinical/direct patient care or practice; 2. Leadership and collaborative practice; 3. Improving the quality and developing service practice; 4. Development of competency in self and others. The links between the university and clinical assessments were instrumental in developing both midwifery and specialised skills required for extending their scope of practice. The changing demographics of their client group facilitated the need to provide safe assessment and management of ladies with complex health and social needs in pregnancy and childbirth; provide specialised clinics and the development of a robust stafftraining and assessment process. The generic competencies they gained improved collaborative working with their medical colleagues, raising the trainees profile and acceptance of their extended role. In addition to this, development of specialised midwifery skills promoted a high degree of decision making responsibilities within midwifery to facilitate service development and promote evidence based care.","author":[{"dropping-particle":"","family":"Gaskell","given":"Lynne","non-dropping-particle":"","parse-names":false,"suffix":""},{"dropping-particle":"","family":"Beaton","given":"Susan","non-dropping-particle":"","parse-names":false,"suffix":""}],"container-title":"Nurse Education in Practice","id":"ITEM-1","issue":"4","issued":{"date-parts":[["2015"]]},"page":"265-270","title":"Developing clinical competency: Experiences and perceptions of Advanced Midwifery Practitioners in training","type":"article-journal","volume":"15"},"uris":["http://www.mendeley.com/documents/?uuid=6cbc5bbb-dcb5-44b8-96fa-2fd8241f9159"]}],"mendeley":{"formattedCitation":"(Gaskell &amp; Beaton, 2015)","plainTextFormattedCitation":"(Gaskell &amp; Beaton, 2015)","previouslyFormattedCitation":"(Gaskell &amp; Beaton, 2015)"},"properties":{"noteIndex":0},"schema":"https://github.com/citation-style-language/schema/raw/master/csl-citation.json"}</w:instrText>
      </w:r>
      <w:r>
        <w:rPr>
          <w:b/>
          <w:shd w:val="clear" w:color="auto" w:fill="FFFFFF"/>
        </w:rPr>
        <w:fldChar w:fldCharType="separate"/>
      </w:r>
      <w:r>
        <w:rPr>
          <w:b/>
          <w:shd w:val="clear" w:color="auto" w:fill="FFFFFF"/>
        </w:rPr>
        <w:t>(Gaskell &amp; Beaton, 2015)</w:t>
      </w:r>
      <w:r>
        <w:rPr>
          <w:b/>
          <w:shd w:val="clear" w:color="auto" w:fill="FFFFFF"/>
        </w:rPr>
        <w:fldChar w:fldCharType="end"/>
      </w:r>
      <w:r>
        <w:rPr>
          <w:b/>
          <w:shd w:val="clear" w:color="auto" w:fill="FFFFFF"/>
        </w:rPr>
        <w:t xml:space="preserve">. </w:t>
      </w:r>
      <w:r>
        <w:rPr>
          <w:shd w:val="clear" w:color="auto" w:fill="FFFFFF"/>
        </w:rPr>
        <w:t xml:space="preserve"> </w:t>
      </w:r>
      <w:r>
        <w:rPr>
          <w:b/>
          <w:bCs/>
        </w:rPr>
        <w:t xml:space="preserve">  </w:t>
      </w:r>
    </w:p>
    <w:p>
      <w:pPr>
        <w:pStyle w:val="17"/>
        <w:shd w:val="clear" w:color="auto" w:fill="FFFFFF"/>
        <w:tabs>
          <w:tab w:val="left" w:pos="9360"/>
        </w:tabs>
        <w:spacing w:before="0" w:beforeAutospacing="0" w:line="480" w:lineRule="auto"/>
        <w:ind w:firstLine="630"/>
        <w:jc w:val="both"/>
        <w:rPr>
          <w:b/>
          <w:bCs/>
        </w:rPr>
      </w:pPr>
    </w:p>
    <w:p>
      <w:pPr>
        <w:pStyle w:val="17"/>
        <w:shd w:val="clear" w:color="auto" w:fill="FFFFFF"/>
        <w:tabs>
          <w:tab w:val="left" w:pos="9360"/>
        </w:tabs>
        <w:spacing w:before="0" w:beforeAutospacing="0" w:line="480" w:lineRule="auto"/>
        <w:ind w:firstLine="630"/>
        <w:jc w:val="both"/>
        <w:rPr>
          <w:b/>
          <w:bCs/>
        </w:rPr>
      </w:pPr>
    </w:p>
    <w:p>
      <w:pPr>
        <w:pStyle w:val="17"/>
        <w:shd w:val="clear" w:color="auto" w:fill="FFFFFF"/>
        <w:tabs>
          <w:tab w:val="left" w:pos="9360"/>
        </w:tabs>
        <w:spacing w:before="0" w:beforeAutospacing="0" w:line="480" w:lineRule="auto"/>
        <w:ind w:firstLine="630"/>
        <w:jc w:val="both"/>
        <w:rPr>
          <w:b/>
          <w:bCs/>
        </w:rPr>
      </w:pPr>
    </w:p>
    <w:p>
      <w:pPr>
        <w:pStyle w:val="17"/>
        <w:shd w:val="clear" w:color="auto" w:fill="FFFFFF"/>
        <w:tabs>
          <w:tab w:val="left" w:pos="9360"/>
        </w:tabs>
        <w:spacing w:before="0" w:beforeAutospacing="0" w:line="480" w:lineRule="auto"/>
        <w:ind w:firstLine="630"/>
        <w:jc w:val="both"/>
        <w:rPr>
          <w:b/>
          <w:bCs/>
        </w:rPr>
      </w:pPr>
    </w:p>
    <w:p>
      <w:pPr>
        <w:pStyle w:val="17"/>
        <w:shd w:val="clear" w:color="auto" w:fill="FFFFFF"/>
        <w:tabs>
          <w:tab w:val="left" w:pos="9360"/>
        </w:tabs>
        <w:spacing w:before="0" w:beforeAutospacing="0" w:line="480" w:lineRule="auto"/>
        <w:ind w:firstLine="630"/>
        <w:jc w:val="both"/>
        <w:rPr>
          <w:b/>
          <w:bCs/>
        </w:rPr>
      </w:pPr>
    </w:p>
    <w:p>
      <w:pPr>
        <w:pStyle w:val="17"/>
        <w:shd w:val="clear" w:color="auto" w:fill="FFFFFF"/>
        <w:tabs>
          <w:tab w:val="left" w:pos="9360"/>
        </w:tabs>
        <w:spacing w:before="0" w:beforeAutospacing="0" w:line="480" w:lineRule="auto"/>
        <w:ind w:firstLine="630"/>
        <w:jc w:val="both"/>
        <w:rPr>
          <w:b/>
          <w:bCs/>
        </w:rPr>
      </w:pPr>
    </w:p>
    <w:p>
      <w:pPr>
        <w:pStyle w:val="17"/>
        <w:shd w:val="clear" w:color="auto" w:fill="FFFFFF"/>
        <w:tabs>
          <w:tab w:val="left" w:pos="9360"/>
        </w:tabs>
        <w:spacing w:before="0" w:beforeAutospacing="0" w:line="480" w:lineRule="auto"/>
        <w:ind w:firstLine="630"/>
        <w:jc w:val="both"/>
        <w:rPr>
          <w:b/>
          <w:bCs/>
        </w:rPr>
      </w:pPr>
    </w:p>
    <w:p>
      <w:pPr>
        <w:pStyle w:val="17"/>
        <w:shd w:val="clear" w:color="auto" w:fill="FFFFFF"/>
        <w:tabs>
          <w:tab w:val="left" w:pos="9360"/>
        </w:tabs>
        <w:spacing w:before="0" w:beforeAutospacing="0" w:line="480" w:lineRule="auto"/>
        <w:ind w:firstLine="630"/>
        <w:jc w:val="both"/>
        <w:rPr>
          <w:shd w:val="clear" w:color="auto" w:fill="FFFFFF"/>
        </w:rPr>
      </w:pPr>
      <w:r>
        <w:rPr>
          <w:b/>
          <w:bCs/>
        </w:rPr>
        <w:t xml:space="preserve">                                                                                                                                                                                                                              </w:t>
      </w:r>
    </w:p>
    <w:p>
      <w:pPr>
        <w:spacing w:before="100" w:beforeAutospacing="1" w:after="100" w:afterAutospacing="1" w:line="480" w:lineRule="auto"/>
        <w:ind w:right="720"/>
        <w:rPr>
          <w:rFonts w:ascii="Times New Roman" w:hAnsi="Times New Roman" w:cs="Times New Roman"/>
          <w:sz w:val="24"/>
          <w:szCs w:val="24"/>
        </w:rPr>
      </w:pPr>
      <w:r>
        <w:rPr>
          <w:rFonts w:ascii="Times New Roman" w:hAnsi="Times New Roman" w:cs="Times New Roman"/>
          <w:b/>
          <w:bCs/>
          <w:sz w:val="24"/>
          <w:szCs w:val="24"/>
        </w:rPr>
        <w:t>Theoretical Flame work</w:t>
      </w:r>
    </w:p>
    <w:p>
      <w:pPr>
        <w:spacing w:before="100" w:beforeAutospacing="1" w:after="100" w:afterAutospacing="1" w:line="480" w:lineRule="auto"/>
        <w:ind w:left="720" w:right="720" w:firstLine="720"/>
        <w:rPr>
          <w:rFonts w:ascii="Times New Roman" w:hAnsi="Times New Roman" w:cs="Times New Roman"/>
          <w:b/>
          <w:bCs/>
          <w:sz w:val="24"/>
          <w:szCs w:val="24"/>
        </w:rPr>
      </w:pPr>
      <w:r>
        <w:rPr>
          <w:rFonts w:ascii="Times New Roman" w:hAnsi="Times New Roman"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1333500</wp:posOffset>
                </wp:positionH>
                <wp:positionV relativeFrom="paragraph">
                  <wp:posOffset>243840</wp:posOffset>
                </wp:positionV>
                <wp:extent cx="1181100" cy="4387850"/>
                <wp:effectExtent l="0" t="0" r="19050" b="12700"/>
                <wp:wrapNone/>
                <wp:docPr id="40" name="Rectangle 40"/>
                <wp:cNvGraphicFramePr/>
                <a:graphic xmlns:a="http://schemas.openxmlformats.org/drawingml/2006/main">
                  <a:graphicData uri="http://schemas.microsoft.com/office/word/2010/wordprocessingShape">
                    <wps:wsp>
                      <wps:cNvSpPr/>
                      <wps:spPr>
                        <a:xfrm>
                          <a:off x="0" y="0"/>
                          <a:ext cx="1181100" cy="4387850"/>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ascii="Times New Roman" w:hAnsi="Times New Roman" w:cs="Times New Roman"/>
                                <w:b/>
                                <w:bCs/>
                                <w:sz w:val="24"/>
                                <w:szCs w:val="24"/>
                              </w:rPr>
                            </w:pPr>
                            <w:r>
                              <w:rPr>
                                <w:rFonts w:ascii="Times New Roman" w:hAnsi="Times New Roman" w:cs="Times New Roman"/>
                                <w:b/>
                                <w:bCs/>
                                <w:sz w:val="24"/>
                                <w:szCs w:val="24"/>
                              </w:rPr>
                              <w:t xml:space="preserve">CLINICAL COACH FOR NURSES &amp;MIDWIVES </w:t>
                            </w:r>
                          </w:p>
                          <w:p>
                            <w:pPr>
                              <w:jc w:val="center"/>
                              <w:rPr>
                                <w:rFonts w:ascii="Times New Roman" w:hAnsi="Times New Roman" w:cs="Times New Roman"/>
                                <w:sz w:val="24"/>
                                <w:szCs w:val="24"/>
                              </w:rPr>
                            </w:pPr>
                            <w:r>
                              <w:rPr>
                                <w:rFonts w:ascii="Times New Roman" w:hAnsi="Times New Roman" w:cs="Times New Roman"/>
                                <w:sz w:val="24"/>
                                <w:szCs w:val="24"/>
                              </w:rPr>
                              <w:t>Pain assessment skill</w:t>
                            </w:r>
                          </w:p>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 xml:space="preserve">Post-operative pain management </w:t>
                            </w:r>
                          </w:p>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 xml:space="preserve">Post-operative nursing care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0" o:spid="_x0000_s1026" o:spt="1" style="position:absolute;left:0pt;margin-left:105pt;margin-top:19.2pt;height:345.5pt;width:93pt;z-index:251662336;v-text-anchor:middle;mso-width-relative:page;mso-height-relative:page;" fillcolor="#FFFFFF [3201]" filled="t" stroked="t" coordsize="21600,21600" o:gfxdata="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csUDN2AAAAAoBAAAPAAAAAAAAAAEAIAAAACIAAABkcnMvZG93bnJldi54&#10;bWxQSwECFAAUAAAACACHTuJAnbmQ1WwCAAAFBQAADgAAAAAAAAABACAAAAAnAQAAZHJzL2Uyb0Rv&#10;Yy54bWxQSwUGAAAAAAYABgBZAQAABQYAAAAA&#10;">
                <v:fill on="t" focussize="0,0"/>
                <v:stroke weight="1pt" color="#000000 [3200]" miterlimit="8" joinstyle="miter"/>
                <v:imagedata o:title=""/>
                <o:lock v:ext="edit" aspectratio="f"/>
                <v:textbox>
                  <w:txbxContent>
                    <w:p>
                      <w:pPr>
                        <w:rPr>
                          <w:rFonts w:ascii="Times New Roman" w:hAnsi="Times New Roman" w:cs="Times New Roman"/>
                          <w:b/>
                          <w:bCs/>
                          <w:sz w:val="24"/>
                          <w:szCs w:val="24"/>
                        </w:rPr>
                      </w:pPr>
                      <w:r>
                        <w:rPr>
                          <w:rFonts w:ascii="Times New Roman" w:hAnsi="Times New Roman" w:cs="Times New Roman"/>
                          <w:b/>
                          <w:bCs/>
                          <w:sz w:val="24"/>
                          <w:szCs w:val="24"/>
                        </w:rPr>
                        <w:t xml:space="preserve">CLINICAL COACH FOR NURSES &amp;MIDWIVES </w:t>
                      </w:r>
                    </w:p>
                    <w:p>
                      <w:pPr>
                        <w:jc w:val="center"/>
                        <w:rPr>
                          <w:rFonts w:ascii="Times New Roman" w:hAnsi="Times New Roman" w:cs="Times New Roman"/>
                          <w:sz w:val="24"/>
                          <w:szCs w:val="24"/>
                        </w:rPr>
                      </w:pPr>
                      <w:r>
                        <w:rPr>
                          <w:rFonts w:ascii="Times New Roman" w:hAnsi="Times New Roman" w:cs="Times New Roman"/>
                          <w:sz w:val="24"/>
                          <w:szCs w:val="24"/>
                        </w:rPr>
                        <w:t>Pain assessment skill</w:t>
                      </w:r>
                    </w:p>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 xml:space="preserve">Post-operative pain management </w:t>
                      </w:r>
                    </w:p>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 xml:space="preserve">Post-operative nursing care </w:t>
                      </w:r>
                    </w:p>
                  </w:txbxContent>
                </v:textbox>
              </v:rect>
            </w:pict>
          </mc:Fallback>
        </mc:AlternateContent>
      </w:r>
      <w:r>
        <w:rPr>
          <w:rFonts w:ascii="Times New Roman" w:hAnsi="Times New Roman" w:cs="Times New Roman"/>
          <w:sz w:val="24"/>
          <w:szCs w:val="24"/>
        </w:rPr>
        <mc:AlternateContent>
          <mc:Choice Requires="wps">
            <w:drawing>
              <wp:anchor distT="0" distB="0" distL="114300" distR="114300" simplePos="0" relativeHeight="251663360" behindDoc="0" locked="0" layoutInCell="1" allowOverlap="1">
                <wp:simplePos x="0" y="0"/>
                <wp:positionH relativeFrom="column">
                  <wp:posOffset>2819400</wp:posOffset>
                </wp:positionH>
                <wp:positionV relativeFrom="paragraph">
                  <wp:posOffset>152400</wp:posOffset>
                </wp:positionV>
                <wp:extent cx="1455420" cy="4854575"/>
                <wp:effectExtent l="0" t="0" r="11430" b="22225"/>
                <wp:wrapNone/>
                <wp:docPr id="39" name="Rectangle 39"/>
                <wp:cNvGraphicFramePr/>
                <a:graphic xmlns:a="http://schemas.openxmlformats.org/drawingml/2006/main">
                  <a:graphicData uri="http://schemas.microsoft.com/office/word/2010/wordprocessingShape">
                    <wps:wsp>
                      <wps:cNvSpPr/>
                      <wps:spPr>
                        <a:xfrm>
                          <a:off x="0" y="0"/>
                          <a:ext cx="1455420" cy="48545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USING CLINICAL COACHING SKILL</w:t>
                            </w:r>
                          </w:p>
                          <w:p>
                            <w:pPr>
                              <w:jc w:val="center"/>
                              <w:rPr>
                                <w:rFonts w:ascii="Times New Roman" w:hAnsi="Times New Roman" w:cs="Times New Roman"/>
                                <w:sz w:val="24"/>
                                <w:szCs w:val="24"/>
                              </w:rPr>
                            </w:pPr>
                            <w:r>
                              <w:rPr>
                                <w:rFonts w:ascii="Times New Roman" w:hAnsi="Times New Roman" w:cs="Times New Roman"/>
                                <w:sz w:val="24"/>
                                <w:szCs w:val="24"/>
                              </w:rPr>
                              <w:t>Mantras (work with them in groups, change attitude to gratitude)</w:t>
                            </w:r>
                          </w:p>
                          <w:p>
                            <w:pPr>
                              <w:jc w:val="center"/>
                              <w:rPr>
                                <w:rFonts w:ascii="Times New Roman" w:hAnsi="Times New Roman" w:cs="Times New Roman"/>
                                <w:sz w:val="24"/>
                                <w:szCs w:val="24"/>
                              </w:rPr>
                            </w:pPr>
                            <w:r>
                              <w:rPr>
                                <w:rFonts w:ascii="Times New Roman" w:hAnsi="Times New Roman" w:cs="Times New Roman"/>
                                <w:sz w:val="24"/>
                                <w:szCs w:val="24"/>
                              </w:rPr>
                              <w:t>conduct CNE, audit meeting, collect them, &amp; give feedback.)</w:t>
                            </w:r>
                          </w:p>
                          <w:p>
                            <w:pPr>
                              <w:jc w:val="center"/>
                              <w:rPr>
                                <w:rFonts w:ascii="Times New Roman" w:hAnsi="Times New Roman" w:cs="Times New Roman"/>
                                <w:sz w:val="24"/>
                                <w:szCs w:val="24"/>
                              </w:rPr>
                            </w:pPr>
                            <w:r>
                              <w:rPr>
                                <w:rFonts w:ascii="Times New Roman" w:hAnsi="Times New Roman" w:cs="Times New Roman"/>
                                <w:sz w:val="24"/>
                                <w:szCs w:val="24"/>
                              </w:rPr>
                              <w:t xml:space="preserve">Demonstrate  </w:t>
                            </w:r>
                          </w:p>
                          <w:p>
                            <w:pPr>
                              <w:jc w:val="center"/>
                              <w:rPr>
                                <w:rFonts w:ascii="Times New Roman" w:hAnsi="Times New Roman" w:cs="Times New Roman"/>
                                <w:sz w:val="24"/>
                                <w:szCs w:val="24"/>
                              </w:rPr>
                            </w:pPr>
                            <w:r>
                              <w:rPr>
                                <w:rFonts w:ascii="Times New Roman" w:hAnsi="Times New Roman" w:cs="Times New Roman"/>
                                <w:sz w:val="24"/>
                                <w:szCs w:val="24"/>
                              </w:rPr>
                              <w:t xml:space="preserve">Provide assessment tools, posters, pain charts, supervise. </w:t>
                            </w:r>
                          </w:p>
                          <w:p>
                            <w:pPr>
                              <w:jc w:val="center"/>
                              <w:rPr>
                                <w:rFonts w:ascii="Times New Roman" w:hAnsi="Times New Roman" w:cs="Times New Roman"/>
                                <w:sz w:val="24"/>
                                <w:szCs w:val="24"/>
                              </w:rPr>
                            </w:pPr>
                            <w:r>
                              <w:rPr>
                                <w:rFonts w:ascii="Times New Roman" w:hAnsi="Times New Roman" w:cs="Times New Roman"/>
                                <w:sz w:val="24"/>
                                <w:szCs w:val="24"/>
                              </w:rPr>
                              <w:t xml:space="preserve">Give posttest for evaluation.  </w:t>
                            </w:r>
                          </w:p>
                          <w:p>
                            <w:pPr>
                              <w:jc w:val="center"/>
                              <w:rPr>
                                <w:rFonts w:ascii="Times New Roman" w:hAnsi="Times New Roman" w:cs="Times New Roman"/>
                                <w:sz w:val="24"/>
                                <w:szCs w:val="24"/>
                              </w:rPr>
                            </w:pPr>
                            <w:r>
                              <w:rPr>
                                <w:rFonts w:ascii="Times New Roman" w:hAnsi="Times New Roman" w:cs="Times New Roman"/>
                                <w:sz w:val="24"/>
                                <w:szCs w:val="24"/>
                              </w:rPr>
                              <w:t xml:space="preserve">Continuous monitoring of their progress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9" o:spid="_x0000_s1026" o:spt="1" style="position:absolute;left:0pt;margin-left:222pt;margin-top:12pt;height:382.25pt;width:114.6pt;z-index:251663360;v-text-anchor:middle;mso-width-relative:page;mso-height-relative:page;" fillcolor="#FFFFFF [3201]" filled="t" stroked="t" coordsize="21600,21600" o:gfxdata="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wkqX/YAAAACgEAAA8AAAAAAAAAAQAgAAAAIgAAAGRycy9kb3ducmV2Lnht&#10;bFBLAQIUABQAAAAIAIdO4kCCuQL/awIAAAUFAAAOAAAAAAAAAAEAIAAAACcBAABkcnMvZTJvRG9j&#10;LnhtbFBLBQYAAAAABgAGAFkBAAAEBgAAAAA=&#10;">
                <v:fill on="t" focussize="0,0"/>
                <v:stroke weight="1pt" color="#000000 [3200]" miterlimit="8" joinstyle="miter"/>
                <v:imagedata o:title=""/>
                <o:lock v:ext="edit" aspectratio="f"/>
                <v:textbox>
                  <w:txbxContent>
                    <w:p>
                      <w:pPr>
                        <w:jc w:val="center"/>
                        <w:rPr>
                          <w:rFonts w:ascii="Times New Roman" w:hAnsi="Times New Roman" w:cs="Times New Roman"/>
                          <w:b/>
                          <w:bCs/>
                          <w:sz w:val="24"/>
                          <w:szCs w:val="24"/>
                        </w:rPr>
                      </w:pPr>
                      <w:r>
                        <w:rPr>
                          <w:rFonts w:ascii="Times New Roman" w:hAnsi="Times New Roman" w:cs="Times New Roman"/>
                          <w:b/>
                          <w:bCs/>
                          <w:sz w:val="24"/>
                          <w:szCs w:val="24"/>
                        </w:rPr>
                        <w:t>USING CLINICAL COACHING SKILL</w:t>
                      </w:r>
                    </w:p>
                    <w:p>
                      <w:pPr>
                        <w:jc w:val="center"/>
                        <w:rPr>
                          <w:rFonts w:ascii="Times New Roman" w:hAnsi="Times New Roman" w:cs="Times New Roman"/>
                          <w:sz w:val="24"/>
                          <w:szCs w:val="24"/>
                        </w:rPr>
                      </w:pPr>
                      <w:r>
                        <w:rPr>
                          <w:rFonts w:ascii="Times New Roman" w:hAnsi="Times New Roman" w:cs="Times New Roman"/>
                          <w:sz w:val="24"/>
                          <w:szCs w:val="24"/>
                        </w:rPr>
                        <w:t>Mantras (work with them in groups, change attitude to gratitude)</w:t>
                      </w:r>
                    </w:p>
                    <w:p>
                      <w:pPr>
                        <w:jc w:val="center"/>
                        <w:rPr>
                          <w:rFonts w:ascii="Times New Roman" w:hAnsi="Times New Roman" w:cs="Times New Roman"/>
                          <w:sz w:val="24"/>
                          <w:szCs w:val="24"/>
                        </w:rPr>
                      </w:pPr>
                      <w:r>
                        <w:rPr>
                          <w:rFonts w:ascii="Times New Roman" w:hAnsi="Times New Roman" w:cs="Times New Roman"/>
                          <w:sz w:val="24"/>
                          <w:szCs w:val="24"/>
                        </w:rPr>
                        <w:t>conduct CNE, audit meeting, collect them, &amp; give feedback.)</w:t>
                      </w:r>
                    </w:p>
                    <w:p>
                      <w:pPr>
                        <w:jc w:val="center"/>
                        <w:rPr>
                          <w:rFonts w:ascii="Times New Roman" w:hAnsi="Times New Roman" w:cs="Times New Roman"/>
                          <w:sz w:val="24"/>
                          <w:szCs w:val="24"/>
                        </w:rPr>
                      </w:pPr>
                      <w:r>
                        <w:rPr>
                          <w:rFonts w:ascii="Times New Roman" w:hAnsi="Times New Roman" w:cs="Times New Roman"/>
                          <w:sz w:val="24"/>
                          <w:szCs w:val="24"/>
                        </w:rPr>
                        <w:t xml:space="preserve">Demonstrate  </w:t>
                      </w:r>
                    </w:p>
                    <w:p>
                      <w:pPr>
                        <w:jc w:val="center"/>
                        <w:rPr>
                          <w:rFonts w:ascii="Times New Roman" w:hAnsi="Times New Roman" w:cs="Times New Roman"/>
                          <w:sz w:val="24"/>
                          <w:szCs w:val="24"/>
                        </w:rPr>
                      </w:pPr>
                      <w:r>
                        <w:rPr>
                          <w:rFonts w:ascii="Times New Roman" w:hAnsi="Times New Roman" w:cs="Times New Roman"/>
                          <w:sz w:val="24"/>
                          <w:szCs w:val="24"/>
                        </w:rPr>
                        <w:t xml:space="preserve">Provide assessment tools, posters, pain charts, supervise. </w:t>
                      </w:r>
                    </w:p>
                    <w:p>
                      <w:pPr>
                        <w:jc w:val="center"/>
                        <w:rPr>
                          <w:rFonts w:ascii="Times New Roman" w:hAnsi="Times New Roman" w:cs="Times New Roman"/>
                          <w:sz w:val="24"/>
                          <w:szCs w:val="24"/>
                        </w:rPr>
                      </w:pPr>
                      <w:r>
                        <w:rPr>
                          <w:rFonts w:ascii="Times New Roman" w:hAnsi="Times New Roman" w:cs="Times New Roman"/>
                          <w:sz w:val="24"/>
                          <w:szCs w:val="24"/>
                        </w:rPr>
                        <w:t xml:space="preserve">Give posttest for evaluation.  </w:t>
                      </w:r>
                    </w:p>
                    <w:p>
                      <w:pPr>
                        <w:jc w:val="center"/>
                        <w:rPr>
                          <w:rFonts w:ascii="Times New Roman" w:hAnsi="Times New Roman" w:cs="Times New Roman"/>
                          <w:sz w:val="24"/>
                          <w:szCs w:val="24"/>
                        </w:rPr>
                      </w:pPr>
                      <w:r>
                        <w:rPr>
                          <w:rFonts w:ascii="Times New Roman" w:hAnsi="Times New Roman" w:cs="Times New Roman"/>
                          <w:sz w:val="24"/>
                          <w:szCs w:val="24"/>
                        </w:rPr>
                        <w:t xml:space="preserve">Continuous monitoring of their progress </w:t>
                      </w:r>
                    </w:p>
                  </w:txbxContent>
                </v:textbox>
              </v:rect>
            </w:pict>
          </mc:Fallback>
        </mc:AlternateContent>
      </w:r>
      <w:r>
        <w:rPr>
          <w:rFonts w:ascii="Times New Roman" w:hAnsi="Times New Roman" w:cs="Times New Roman"/>
          <w:sz w:val="24"/>
          <w:szCs w:val="24"/>
        </w:rPr>
        <mc:AlternateContent>
          <mc:Choice Requires="wps">
            <w:drawing>
              <wp:anchor distT="0" distB="0" distL="114300" distR="114300" simplePos="0" relativeHeight="251664384" behindDoc="0" locked="0" layoutInCell="1" allowOverlap="1">
                <wp:simplePos x="0" y="0"/>
                <wp:positionH relativeFrom="margin">
                  <wp:posOffset>4659630</wp:posOffset>
                </wp:positionH>
                <wp:positionV relativeFrom="paragraph">
                  <wp:posOffset>85090</wp:posOffset>
                </wp:positionV>
                <wp:extent cx="1341120" cy="4921885"/>
                <wp:effectExtent l="0" t="0" r="11430" b="12065"/>
                <wp:wrapNone/>
                <wp:docPr id="37" name="Rectangle 37"/>
                <wp:cNvGraphicFramePr/>
                <a:graphic xmlns:a="http://schemas.openxmlformats.org/drawingml/2006/main">
                  <a:graphicData uri="http://schemas.microsoft.com/office/word/2010/wordprocessingShape">
                    <wps:wsp>
                      <wps:cNvSpPr/>
                      <wps:spPr>
                        <a:xfrm>
                          <a:off x="0" y="0"/>
                          <a:ext cx="1341120" cy="492188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ascii="Times New Roman" w:hAnsi="Times New Roman" w:cs="Times New Roman"/>
                                <w:b/>
                                <w:bCs/>
                                <w:sz w:val="24"/>
                                <w:szCs w:val="24"/>
                              </w:rPr>
                            </w:pPr>
                            <w:r>
                              <w:rPr>
                                <w:rFonts w:ascii="Times New Roman" w:hAnsi="Times New Roman" w:cs="Times New Roman"/>
                                <w:b/>
                                <w:bCs/>
                                <w:sz w:val="24"/>
                                <w:szCs w:val="24"/>
                              </w:rPr>
                              <w:t>CLINICAL FRAMEWORK OUTPUT</w:t>
                            </w:r>
                          </w:p>
                          <w:p>
                            <w:pPr>
                              <w:rPr>
                                <w:rFonts w:ascii="Times New Roman" w:hAnsi="Times New Roman" w:cs="Times New Roman"/>
                                <w:sz w:val="24"/>
                                <w:szCs w:val="24"/>
                              </w:rPr>
                            </w:pPr>
                            <w:r>
                              <w:rPr>
                                <w:rFonts w:ascii="Times New Roman" w:hAnsi="Times New Roman" w:cs="Times New Roman"/>
                                <w:sz w:val="24"/>
                                <w:szCs w:val="24"/>
                              </w:rPr>
                              <w:t xml:space="preserve">Nurses &amp; midwives’ will be able use the pain assessment scale. </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 xml:space="preserve">Improved nurses’ attitude. </w:t>
                            </w:r>
                          </w:p>
                          <w:p>
                            <w:r>
                              <w:rPr>
                                <w:rFonts w:ascii="Times New Roman" w:hAnsi="Times New Roman" w:cs="Times New Roman"/>
                                <w:sz w:val="24"/>
                                <w:szCs w:val="24"/>
                              </w:rPr>
                              <w:t>Nurses will be able to give a suitable post-operative pain analgesia in relation to the level of pain</w:t>
                            </w:r>
                            <w: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7" o:spid="_x0000_s1026" o:spt="1" style="position:absolute;left:0pt;margin-left:366.9pt;margin-top:6.7pt;height:387.55pt;width:105.6pt;mso-position-horizontal-relative:margin;z-index:251664384;v-text-anchor:middle;mso-width-relative:page;mso-height-relative:page;" fillcolor="#FFFFFF [3201]" filled="t" stroked="t" coordsize="21600,21600" o:gfxdata="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HWPWbXAAAACgEAAA8AAAAAAAAAAQAgAAAAIgAAAGRycy9kb3ducmV2Lnht&#10;bFBLAQIUABQAAAAIAIdO4kBWtr+PbAIAAAUFAAAOAAAAAAAAAAEAIAAAACYBAABkcnMvZTJvRG9j&#10;LnhtbFBLBQYAAAAABgAGAFkBAAAEBgAAAAA=&#10;">
                <v:fill on="t" focussize="0,0"/>
                <v:stroke weight="1pt" color="#000000 [3200]" miterlimit="8" joinstyle="miter"/>
                <v:imagedata o:title=""/>
                <o:lock v:ext="edit" aspectratio="f"/>
                <v:textbox>
                  <w:txbxContent>
                    <w:p>
                      <w:pPr>
                        <w:rPr>
                          <w:rFonts w:ascii="Times New Roman" w:hAnsi="Times New Roman" w:cs="Times New Roman"/>
                          <w:b/>
                          <w:bCs/>
                          <w:sz w:val="24"/>
                          <w:szCs w:val="24"/>
                        </w:rPr>
                      </w:pPr>
                      <w:r>
                        <w:rPr>
                          <w:rFonts w:ascii="Times New Roman" w:hAnsi="Times New Roman" w:cs="Times New Roman"/>
                          <w:b/>
                          <w:bCs/>
                          <w:sz w:val="24"/>
                          <w:szCs w:val="24"/>
                        </w:rPr>
                        <w:t>CLINICAL FRAMEWORK OUTPUT</w:t>
                      </w:r>
                    </w:p>
                    <w:p>
                      <w:pPr>
                        <w:rPr>
                          <w:rFonts w:ascii="Times New Roman" w:hAnsi="Times New Roman" w:cs="Times New Roman"/>
                          <w:sz w:val="24"/>
                          <w:szCs w:val="24"/>
                        </w:rPr>
                      </w:pPr>
                      <w:r>
                        <w:rPr>
                          <w:rFonts w:ascii="Times New Roman" w:hAnsi="Times New Roman" w:cs="Times New Roman"/>
                          <w:sz w:val="24"/>
                          <w:szCs w:val="24"/>
                        </w:rPr>
                        <w:t xml:space="preserve">Nurses &amp; midwives’ will be able use the pain assessment scale. </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 xml:space="preserve">Improved nurses’ attitude. </w:t>
                      </w:r>
                    </w:p>
                    <w:p>
                      <w:r>
                        <w:rPr>
                          <w:rFonts w:ascii="Times New Roman" w:hAnsi="Times New Roman" w:cs="Times New Roman"/>
                          <w:sz w:val="24"/>
                          <w:szCs w:val="24"/>
                        </w:rPr>
                        <w:t>Nurses will be able to give a suitable post-operative pain analgesia in relation to the level of pain</w:t>
                      </w:r>
                      <w:r>
                        <w:t xml:space="preserve">. </w:t>
                      </w:r>
                    </w:p>
                  </w:txbxContent>
                </v:textbox>
              </v:rect>
            </w:pict>
          </mc:Fallback>
        </mc:AlternateContent>
      </w:r>
      <w:r>
        <w:rPr>
          <w:rFonts w:ascii="Times New Roman" w:hAnsi="Times New Roman" w:cs="Times New Roman"/>
          <w:sz w:val="24"/>
          <w:szCs w:val="24"/>
        </w:rPr>
        <mc:AlternateContent>
          <mc:Choice Requires="wps">
            <w:drawing>
              <wp:anchor distT="0" distB="0" distL="114300" distR="114300" simplePos="0" relativeHeight="251661312" behindDoc="0" locked="0" layoutInCell="1" allowOverlap="1">
                <wp:simplePos x="0" y="0"/>
                <wp:positionH relativeFrom="column">
                  <wp:posOffset>-350520</wp:posOffset>
                </wp:positionH>
                <wp:positionV relativeFrom="paragraph">
                  <wp:posOffset>182880</wp:posOffset>
                </wp:positionV>
                <wp:extent cx="1310640" cy="4442460"/>
                <wp:effectExtent l="0" t="0" r="22860" b="15240"/>
                <wp:wrapSquare wrapText="bothSides"/>
                <wp:docPr id="38" name="Rectangle 38"/>
                <wp:cNvGraphicFramePr/>
                <a:graphic xmlns:a="http://schemas.openxmlformats.org/drawingml/2006/main">
                  <a:graphicData uri="http://schemas.microsoft.com/office/word/2010/wordprocessingShape">
                    <wps:wsp>
                      <wps:cNvSpPr/>
                      <wps:spPr>
                        <a:xfrm>
                          <a:off x="0" y="0"/>
                          <a:ext cx="1310640" cy="44424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 xml:space="preserve">CONTEXT OF COUCHING </w:t>
                            </w:r>
                          </w:p>
                          <w:p>
                            <w:pPr>
                              <w:jc w:val="center"/>
                              <w:rPr>
                                <w:rFonts w:ascii="Times New Roman" w:hAnsi="Times New Roman" w:cs="Times New Roman"/>
                                <w:sz w:val="24"/>
                                <w:szCs w:val="24"/>
                              </w:rPr>
                            </w:pPr>
                            <w:r>
                              <w:rPr>
                                <w:rFonts w:ascii="Times New Roman" w:hAnsi="Times New Roman" w:cs="Times New Roman"/>
                                <w:sz w:val="24"/>
                                <w:szCs w:val="24"/>
                              </w:rPr>
                              <w:t xml:space="preserve">Nurses &amp; midwives on the surgical &amp; obstetric ward </w:t>
                            </w:r>
                          </w:p>
                          <w:p>
                            <w:pPr>
                              <w:jc w:val="center"/>
                              <w:rPr>
                                <w:rFonts w:ascii="Times New Roman" w:hAnsi="Times New Roman" w:cs="Times New Roman"/>
                                <w:sz w:val="24"/>
                                <w:szCs w:val="24"/>
                              </w:rPr>
                            </w:pPr>
                            <w:r>
                              <w:rPr>
                                <w:rFonts w:ascii="Times New Roman" w:hAnsi="Times New Roman" w:cs="Times New Roman"/>
                                <w:sz w:val="24"/>
                                <w:szCs w:val="24"/>
                              </w:rPr>
                              <w:t xml:space="preserve">Pre assessment of the nurse’s knowledge, attitude, &amp; practice </w:t>
                            </w:r>
                          </w:p>
                          <w:p>
                            <w:pPr>
                              <w:jc w:val="center"/>
                              <w:rPr>
                                <w:rFonts w:ascii="Times New Roman" w:hAnsi="Times New Roman" w:cs="Times New Roman"/>
                                <w:sz w:val="24"/>
                                <w:szCs w:val="24"/>
                              </w:rPr>
                            </w:pPr>
                            <w:r>
                              <w:rPr>
                                <w:rFonts w:ascii="Times New Roman" w:hAnsi="Times New Roman" w:cs="Times New Roman"/>
                                <w:sz w:val="24"/>
                                <w:szCs w:val="24"/>
                              </w:rPr>
                              <w:t xml:space="preserve">Coaching will take place during working hours. </w:t>
                            </w:r>
                          </w:p>
                          <w:p>
                            <w:pPr>
                              <w:jc w:val="center"/>
                              <w:rPr>
                                <w:rFonts w:ascii="Times New Roman" w:hAnsi="Times New Roman" w:cs="Times New Roman"/>
                                <w:sz w:val="24"/>
                                <w:szCs w:val="24"/>
                              </w:rPr>
                            </w:pPr>
                            <w:r>
                              <w:rPr>
                                <w:rFonts w:ascii="Times New Roman" w:hAnsi="Times New Roman" w:cs="Times New Roman"/>
                                <w:sz w:val="24"/>
                                <w:szCs w:val="24"/>
                              </w:rPr>
                              <w:t xml:space="preserve">Application of pain assessment scale -Post operative nursing care </w:t>
                            </w:r>
                          </w:p>
                          <w:p>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8" o:spid="_x0000_s1026" o:spt="1" style="position:absolute;left:0pt;margin-left:-27.6pt;margin-top:14.4pt;height:349.8pt;width:103.2pt;mso-wrap-distance-bottom:0pt;mso-wrap-distance-left:9pt;mso-wrap-distance-right:9pt;mso-wrap-distance-top:0pt;z-index:251661312;v-text-anchor:middle;mso-width-relative:page;mso-height-relative:page;" fillcolor="#FFFFFF [3201]" filled="t" stroked="t" coordsize="21600,21600" o:gfxdata="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NjLSPWAAAACgEAAA8AAAAAAAAAAQAgAAAAIgAAAGRycy9kb3ducmV2Lnht&#10;bFBLAQIUABQAAAAIAIdO4kC3BxlUbQIAAAUFAAAOAAAAAAAAAAEAIAAAACUBAABkcnMvZTJvRG9j&#10;LnhtbFBLBQYAAAAABgAGAFkBAAAEBgAAAAA=&#10;">
                <v:fill on="t" focussize="0,0"/>
                <v:stroke weight="1pt" color="#000000 [3200]" miterlimit="8" joinstyle="miter"/>
                <v:imagedata o:title=""/>
                <o:lock v:ext="edit" aspectratio="f"/>
                <v:textbox>
                  <w:txbxContent>
                    <w:p>
                      <w:pPr>
                        <w:jc w:val="center"/>
                        <w:rPr>
                          <w:rFonts w:ascii="Times New Roman" w:hAnsi="Times New Roman" w:cs="Times New Roman"/>
                          <w:b/>
                          <w:bCs/>
                          <w:sz w:val="24"/>
                          <w:szCs w:val="24"/>
                        </w:rPr>
                      </w:pPr>
                      <w:r>
                        <w:rPr>
                          <w:rFonts w:ascii="Times New Roman" w:hAnsi="Times New Roman" w:cs="Times New Roman"/>
                          <w:b/>
                          <w:bCs/>
                          <w:sz w:val="24"/>
                          <w:szCs w:val="24"/>
                        </w:rPr>
                        <w:t xml:space="preserve">CONTEXT OF COUCHING </w:t>
                      </w:r>
                    </w:p>
                    <w:p>
                      <w:pPr>
                        <w:jc w:val="center"/>
                        <w:rPr>
                          <w:rFonts w:ascii="Times New Roman" w:hAnsi="Times New Roman" w:cs="Times New Roman"/>
                          <w:sz w:val="24"/>
                          <w:szCs w:val="24"/>
                        </w:rPr>
                      </w:pPr>
                      <w:r>
                        <w:rPr>
                          <w:rFonts w:ascii="Times New Roman" w:hAnsi="Times New Roman" w:cs="Times New Roman"/>
                          <w:sz w:val="24"/>
                          <w:szCs w:val="24"/>
                        </w:rPr>
                        <w:t xml:space="preserve">Nurses &amp; midwives on the surgical &amp; obstetric ward </w:t>
                      </w:r>
                    </w:p>
                    <w:p>
                      <w:pPr>
                        <w:jc w:val="center"/>
                        <w:rPr>
                          <w:rFonts w:ascii="Times New Roman" w:hAnsi="Times New Roman" w:cs="Times New Roman"/>
                          <w:sz w:val="24"/>
                          <w:szCs w:val="24"/>
                        </w:rPr>
                      </w:pPr>
                      <w:r>
                        <w:rPr>
                          <w:rFonts w:ascii="Times New Roman" w:hAnsi="Times New Roman" w:cs="Times New Roman"/>
                          <w:sz w:val="24"/>
                          <w:szCs w:val="24"/>
                        </w:rPr>
                        <w:t xml:space="preserve">Pre assessment of the nurse’s knowledge, attitude, &amp; practice </w:t>
                      </w:r>
                    </w:p>
                    <w:p>
                      <w:pPr>
                        <w:jc w:val="center"/>
                        <w:rPr>
                          <w:rFonts w:ascii="Times New Roman" w:hAnsi="Times New Roman" w:cs="Times New Roman"/>
                          <w:sz w:val="24"/>
                          <w:szCs w:val="24"/>
                        </w:rPr>
                      </w:pPr>
                      <w:r>
                        <w:rPr>
                          <w:rFonts w:ascii="Times New Roman" w:hAnsi="Times New Roman" w:cs="Times New Roman"/>
                          <w:sz w:val="24"/>
                          <w:szCs w:val="24"/>
                        </w:rPr>
                        <w:t xml:space="preserve">Coaching will take place during working hours. </w:t>
                      </w:r>
                    </w:p>
                    <w:p>
                      <w:pPr>
                        <w:jc w:val="center"/>
                        <w:rPr>
                          <w:rFonts w:ascii="Times New Roman" w:hAnsi="Times New Roman" w:cs="Times New Roman"/>
                          <w:sz w:val="24"/>
                          <w:szCs w:val="24"/>
                        </w:rPr>
                      </w:pPr>
                      <w:r>
                        <w:rPr>
                          <w:rFonts w:ascii="Times New Roman" w:hAnsi="Times New Roman" w:cs="Times New Roman"/>
                          <w:sz w:val="24"/>
                          <w:szCs w:val="24"/>
                        </w:rPr>
                        <w:t xml:space="preserve">Application of pain assessment scale -Post operative nursing care </w:t>
                      </w:r>
                    </w:p>
                    <w:p>
                      <w:pPr>
                        <w:jc w:val="center"/>
                        <w:rPr>
                          <w:rFonts w:ascii="Times New Roman" w:hAnsi="Times New Roman" w:cs="Times New Roman"/>
                          <w:sz w:val="24"/>
                          <w:szCs w:val="24"/>
                        </w:rPr>
                      </w:pPr>
                    </w:p>
                  </w:txbxContent>
                </v:textbox>
                <w10:wrap type="square"/>
              </v:rect>
            </w:pict>
          </mc:Fallback>
        </mc:AlternateContent>
      </w:r>
    </w:p>
    <w:p>
      <w:pPr>
        <w:spacing w:before="100" w:beforeAutospacing="1" w:after="100" w:afterAutospacing="1" w:line="480" w:lineRule="auto"/>
        <w:ind w:left="720" w:right="720" w:firstLine="720"/>
        <w:rPr>
          <w:rFonts w:ascii="Times New Roman" w:hAnsi="Times New Roman" w:cs="Times New Roman"/>
          <w:sz w:val="24"/>
          <w:szCs w:val="24"/>
        </w:rPr>
      </w:pPr>
    </w:p>
    <w:p>
      <w:pPr>
        <w:spacing w:before="100" w:beforeAutospacing="1" w:after="100" w:afterAutospacing="1" w:line="480" w:lineRule="auto"/>
        <w:ind w:left="720" w:right="720" w:firstLine="720"/>
        <w:rPr>
          <w:rFonts w:ascii="Times New Roman" w:hAnsi="Times New Roman" w:cs="Times New Roman"/>
          <w:sz w:val="24"/>
          <w:szCs w:val="24"/>
        </w:rPr>
      </w:pPr>
    </w:p>
    <w:p>
      <w:pPr>
        <w:spacing w:before="100" w:beforeAutospacing="1" w:after="100" w:afterAutospacing="1" w:line="480" w:lineRule="auto"/>
        <w:ind w:right="720"/>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65408" behindDoc="0" locked="0" layoutInCell="1" allowOverlap="1">
                <wp:simplePos x="0" y="0"/>
                <wp:positionH relativeFrom="column">
                  <wp:posOffset>967740</wp:posOffset>
                </wp:positionH>
                <wp:positionV relativeFrom="paragraph">
                  <wp:posOffset>499110</wp:posOffset>
                </wp:positionV>
                <wp:extent cx="350520" cy="556895"/>
                <wp:effectExtent l="0" t="38100" r="30480" b="52705"/>
                <wp:wrapNone/>
                <wp:docPr id="36" name="Arrow: Right 36"/>
                <wp:cNvGraphicFramePr/>
                <a:graphic xmlns:a="http://schemas.openxmlformats.org/drawingml/2006/main">
                  <a:graphicData uri="http://schemas.microsoft.com/office/word/2010/wordprocessingShape">
                    <wps:wsp>
                      <wps:cNvSpPr/>
                      <wps:spPr>
                        <a:xfrm>
                          <a:off x="0" y="0"/>
                          <a:ext cx="350520" cy="556895"/>
                        </a:xfrm>
                        <a:prstGeom prst="rightArrow">
                          <a:avLst/>
                        </a:prstGeom>
                      </wps:spPr>
                      <wps:style>
                        <a:lnRef idx="2">
                          <a:schemeClr val="dk1"/>
                        </a:lnRef>
                        <a:fillRef idx="1">
                          <a:schemeClr val="lt1"/>
                        </a:fillRef>
                        <a:effectRef idx="0">
                          <a:schemeClr val="dk1"/>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Right 36" o:spid="_x0000_s1026" o:spt="13" type="#_x0000_t13" style="position:absolute;left:0pt;margin-left:76.2pt;margin-top:39.3pt;height:43.85pt;width:27.6pt;z-index:251665408;v-text-anchor:middle;mso-width-relative:page;mso-height-relative:page;" fillcolor="#FFFFFF [3201]" filled="t" stroked="t" coordsize="21600,21600" o:gfxdata="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omGTkdkAAAAKAQAADwAAAAAAAAABACAAAAAiAAAAZHJzL2Rvd25y&#10;ZXYueG1sUEsBAhQAFAAAAAgAh07iQDZR2KdvAgAADAUAAA4AAAAAAAAAAQAgAAAAKAEAAGRycy9l&#10;Mm9Eb2MueG1sUEsFBgAAAAAGAAYAWQEAAAkGAAAAAA==&#10;" adj="10800,5400">
                <v:fill on="t" focussize="0,0"/>
                <v:stroke weight="1pt" color="#000000 [3200]" miterlimit="8" joinstyle="miter"/>
                <v:imagedata o:title=""/>
                <o:lock v:ext="edit" aspectratio="f"/>
                <v:textbox>
                  <w:txbxContent>
                    <w:p>
                      <w:pPr>
                        <w:jc w:val="center"/>
                      </w:pP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66432" behindDoc="0" locked="0" layoutInCell="1" allowOverlap="1">
                <wp:simplePos x="0" y="0"/>
                <wp:positionH relativeFrom="column">
                  <wp:posOffset>2537460</wp:posOffset>
                </wp:positionH>
                <wp:positionV relativeFrom="paragraph">
                  <wp:posOffset>499110</wp:posOffset>
                </wp:positionV>
                <wp:extent cx="297180" cy="484505"/>
                <wp:effectExtent l="0" t="38100" r="45720" b="48895"/>
                <wp:wrapNone/>
                <wp:docPr id="35" name="Arrow: Right 35"/>
                <wp:cNvGraphicFramePr/>
                <a:graphic xmlns:a="http://schemas.openxmlformats.org/drawingml/2006/main">
                  <a:graphicData uri="http://schemas.microsoft.com/office/word/2010/wordprocessingShape">
                    <wps:wsp>
                      <wps:cNvSpPr/>
                      <wps:spPr>
                        <a:xfrm>
                          <a:off x="0" y="0"/>
                          <a:ext cx="297180" cy="484505"/>
                        </a:xfrm>
                        <a:prstGeom prst="rightArrow">
                          <a:avLst/>
                        </a:prstGeom>
                      </wps:spPr>
                      <wps:style>
                        <a:lnRef idx="2">
                          <a:schemeClr val="dk1"/>
                        </a:lnRef>
                        <a:fillRef idx="1">
                          <a:schemeClr val="lt1"/>
                        </a:fillRef>
                        <a:effectRef idx="0">
                          <a:schemeClr val="dk1"/>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Right 35" o:spid="_x0000_s1026" o:spt="13" type="#_x0000_t13" style="position:absolute;left:0pt;margin-left:199.8pt;margin-top:39.3pt;height:38.15pt;width:23.4pt;z-index:251666432;v-text-anchor:middle;mso-width-relative:page;mso-height-relative:page;" fillcolor="#FFFFFF [3201]" filled="t" stroked="t" coordsize="21600,21600" o:gfxdata="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0NycRtoAAAAKAQAADwAAAAAAAAABACAAAAAiAAAAZHJzL2Rv&#10;d25yZXYueG1sUEsBAhQAFAAAAAgAh07iQMargrxxAgAADAUAAA4AAAAAAAAAAQAgAAAAKQEAAGRy&#10;cy9lMm9Eb2MueG1sUEsFBgAAAAAGAAYAWQEAAAwGAAAAAA==&#10;" adj="10800,5400">
                <v:fill on="t" focussize="0,0"/>
                <v:stroke weight="1pt" color="#000000 [3200]" miterlimit="8" joinstyle="miter"/>
                <v:imagedata o:title=""/>
                <o:lock v:ext="edit" aspectratio="f"/>
                <v:textbox>
                  <w:txbxContent>
                    <w:p>
                      <w:pPr>
                        <w:jc w:val="center"/>
                      </w:pP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67456" behindDoc="0" locked="0" layoutInCell="1" allowOverlap="1">
                <wp:simplePos x="0" y="0"/>
                <wp:positionH relativeFrom="column">
                  <wp:posOffset>4274820</wp:posOffset>
                </wp:positionH>
                <wp:positionV relativeFrom="paragraph">
                  <wp:posOffset>491490</wp:posOffset>
                </wp:positionV>
                <wp:extent cx="342900" cy="483870"/>
                <wp:effectExtent l="0" t="38100" r="38100" b="49530"/>
                <wp:wrapNone/>
                <wp:docPr id="34" name="Arrow: Right 34"/>
                <wp:cNvGraphicFramePr/>
                <a:graphic xmlns:a="http://schemas.openxmlformats.org/drawingml/2006/main">
                  <a:graphicData uri="http://schemas.microsoft.com/office/word/2010/wordprocessingShape">
                    <wps:wsp>
                      <wps:cNvSpPr/>
                      <wps:spPr>
                        <a:xfrm>
                          <a:off x="0" y="0"/>
                          <a:ext cx="342900" cy="483870"/>
                        </a:xfrm>
                        <a:prstGeom prst="rightArrow">
                          <a:avLst/>
                        </a:prstGeom>
                      </wps:spPr>
                      <wps:style>
                        <a:lnRef idx="2">
                          <a:schemeClr val="dk1"/>
                        </a:lnRef>
                        <a:fillRef idx="1">
                          <a:schemeClr val="lt1"/>
                        </a:fillRef>
                        <a:effectRef idx="0">
                          <a:schemeClr val="dk1"/>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Right 34" o:spid="_x0000_s1026" o:spt="13" type="#_x0000_t13" style="position:absolute;left:0pt;margin-left:336.6pt;margin-top:38.7pt;height:38.1pt;width:27pt;z-index:251667456;v-text-anchor:middle;mso-width-relative:page;mso-height-relative:page;" fillcolor="#FFFFFF [3201]" filled="t" stroked="t" coordsize="21600,21600" o:gfxdata="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3HvOt2QAAAAoBAAAPAAAAAAAAAAEAIAAAACIAAABkcnMvZG93&#10;bnJldi54bWxQSwECFAAUAAAACACHTuJAeatQjnECAAAMBQAADgAAAAAAAAABACAAAAAoAQAAZHJz&#10;L2Uyb0RvYy54bWxQSwUGAAAAAAYABgBZAQAACwYAAAAA&#10;" adj="10800,5400">
                <v:fill on="t" focussize="0,0"/>
                <v:stroke weight="1pt" color="#000000 [3200]" miterlimit="8" joinstyle="miter"/>
                <v:imagedata o:title=""/>
                <o:lock v:ext="edit" aspectratio="f"/>
                <v:textbox>
                  <w:txbxContent>
                    <w:p>
                      <w:pPr>
                        <w:jc w:val="center"/>
                      </w:pPr>
                    </w:p>
                  </w:txbxContent>
                </v:textbox>
              </v:shape>
            </w:pict>
          </mc:Fallback>
        </mc:AlternateContent>
      </w:r>
    </w:p>
    <w:p>
      <w:pPr>
        <w:spacing w:before="100" w:beforeAutospacing="1" w:after="100" w:afterAutospacing="1" w:line="480" w:lineRule="auto"/>
        <w:ind w:left="720" w:right="720" w:firstLine="720"/>
        <w:rPr>
          <w:rFonts w:ascii="Times New Roman" w:hAnsi="Times New Roman" w:cs="Times New Roman"/>
          <w:sz w:val="24"/>
          <w:szCs w:val="24"/>
        </w:rPr>
      </w:pPr>
    </w:p>
    <w:p>
      <w:pPr>
        <w:spacing w:before="100" w:beforeAutospacing="1" w:after="100" w:afterAutospacing="1" w:line="480" w:lineRule="auto"/>
        <w:ind w:left="720" w:right="720" w:firstLine="720"/>
        <w:rPr>
          <w:rFonts w:ascii="Times New Roman" w:hAnsi="Times New Roman" w:cs="Times New Roman"/>
          <w:b/>
          <w:bCs/>
          <w:sz w:val="24"/>
          <w:szCs w:val="24"/>
        </w:rPr>
      </w:pPr>
    </w:p>
    <w:p>
      <w:pPr>
        <w:spacing w:before="100" w:beforeAutospacing="1" w:after="100" w:afterAutospacing="1" w:line="480" w:lineRule="auto"/>
        <w:ind w:left="720" w:right="720" w:firstLine="720"/>
        <w:rPr>
          <w:rFonts w:ascii="Times New Roman" w:hAnsi="Times New Roman" w:cs="Times New Roman"/>
          <w:b/>
          <w:bCs/>
          <w:sz w:val="24"/>
          <w:szCs w:val="24"/>
        </w:rPr>
      </w:pPr>
    </w:p>
    <w:p>
      <w:pPr>
        <w:spacing w:before="100" w:beforeAutospacing="1" w:after="100" w:afterAutospacing="1" w:line="480" w:lineRule="auto"/>
        <w:ind w:left="720" w:right="720"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pPr>
        <w:pStyle w:val="42"/>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right="720"/>
        <w:rPr>
          <w:rFonts w:ascii="Times New Roman" w:hAnsi="Times New Roman" w:cs="Times New Roman"/>
          <w:b/>
          <w:bCs/>
          <w:sz w:val="24"/>
          <w:szCs w:val="24"/>
        </w:rPr>
      </w:pPr>
    </w:p>
    <w:p>
      <w:pPr>
        <w:pStyle w:val="42"/>
        <w:spacing w:line="480" w:lineRule="auto"/>
        <w:ind w:right="720"/>
        <w:rPr>
          <w:rFonts w:ascii="Times New Roman" w:hAnsi="Times New Roman" w:cs="Times New Roman"/>
          <w:b/>
          <w:bCs/>
          <w:sz w:val="24"/>
          <w:szCs w:val="24"/>
        </w:rPr>
      </w:pPr>
    </w:p>
    <w:p>
      <w:pPr>
        <w:pStyle w:val="42"/>
        <w:spacing w:line="480" w:lineRule="auto"/>
        <w:ind w:right="720"/>
        <w:rPr>
          <w:rFonts w:ascii="Times New Roman" w:hAnsi="Times New Roman" w:cs="Times New Roman"/>
          <w:b/>
          <w:bCs/>
          <w:sz w:val="24"/>
          <w:szCs w:val="24"/>
        </w:rPr>
      </w:pPr>
    </w:p>
    <w:p>
      <w:pPr>
        <w:pStyle w:val="42"/>
        <w:spacing w:line="480" w:lineRule="auto"/>
        <w:ind w:right="720"/>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42"/>
        <w:spacing w:line="480" w:lineRule="auto"/>
        <w:ind w:left="720" w:right="720"/>
        <w:jc w:val="center"/>
        <w:rPr>
          <w:rFonts w:ascii="Times New Roman" w:hAnsi="Times New Roman" w:cs="Times New Roman"/>
          <w:b/>
          <w:bCs/>
          <w:sz w:val="24"/>
          <w:szCs w:val="24"/>
        </w:rPr>
      </w:pPr>
    </w:p>
    <w:p>
      <w:pPr>
        <w:pStyle w:val="3"/>
        <w:jc w:val="center"/>
        <w:rPr>
          <w:rFonts w:ascii="Times New Roman" w:hAnsi="Times New Roman" w:cs="Times New Roman"/>
          <w:b w:val="0"/>
          <w:sz w:val="24"/>
          <w:szCs w:val="24"/>
        </w:rPr>
      </w:pPr>
      <w:bookmarkStart w:id="53" w:name="_Toc142753391"/>
      <w:r>
        <w:rPr>
          <w:rFonts w:ascii="Times New Roman" w:hAnsi="Times New Roman" w:cs="Times New Roman"/>
          <w:sz w:val="24"/>
          <w:szCs w:val="24"/>
        </w:rPr>
        <w:t>Chapter Two: Literature Review</w:t>
      </w:r>
      <w:bookmarkEnd w:id="53"/>
    </w:p>
    <w:p>
      <w:pPr>
        <w:autoSpaceDE w:val="0"/>
        <w:autoSpaceDN w:val="0"/>
        <w:adjustRightInd w:val="0"/>
        <w:spacing w:before="100" w:beforeAutospacing="1" w:after="100" w:afterAutospacing="1"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The literature review focused on the nurse’s knowledge, attitude, and practice towards post-operative pain management, and the three main concepts of the study were well addressed.</w:t>
      </w:r>
    </w:p>
    <w:p>
      <w:pPr>
        <w:pStyle w:val="3"/>
        <w:rPr>
          <w:rFonts w:ascii="Times New Roman" w:hAnsi="Times New Roman" w:cs="Times New Roman"/>
          <w:b w:val="0"/>
          <w:sz w:val="24"/>
          <w:szCs w:val="24"/>
        </w:rPr>
      </w:pPr>
      <w:bookmarkStart w:id="54" w:name="_Toc142753392"/>
      <w:bookmarkStart w:id="55" w:name="_Toc134604139"/>
      <w:r>
        <w:rPr>
          <w:rFonts w:ascii="Times New Roman" w:hAnsi="Times New Roman" w:cs="Times New Roman"/>
          <w:sz w:val="24"/>
          <w:szCs w:val="24"/>
        </w:rPr>
        <w:t>Nurse’s knowledge towards postoperative pain assessment.</w:t>
      </w:r>
      <w:bookmarkEnd w:id="54"/>
      <w:bookmarkEnd w:id="55"/>
    </w:p>
    <w:p>
      <w:pPr>
        <w:spacing w:before="100" w:beforeAutospacing="1" w:after="100" w:afterAutospacing="1"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nurse's knowledge is their awareness of the fundamental concepts involved in assessing and treating pain. </w:t>
      </w:r>
      <w:r>
        <w:rPr>
          <w:rFonts w:ascii="Times New Roman" w:hAnsi="Times New Roman" w:cs="Times New Roman" w:eastAsiaTheme="minorEastAsia"/>
          <w:sz w:val="24"/>
          <w:szCs w:val="24"/>
        </w:rPr>
        <w:t>The nurse's knowledge affects how well post-operative pain is managed. For the best decision to be made on providing quality care and support, a proper nursing assessment of the patients' pain is essential. In the evaluation and treatment of pain, nurses are indispensable.</w:t>
      </w:r>
      <w:r>
        <w:rPr>
          <w:rFonts w:ascii="Times New Roman" w:hAnsi="Times New Roman" w:cs="Times New Roman"/>
          <w:sz w:val="24"/>
          <w:szCs w:val="24"/>
          <w:shd w:val="clear" w:color="auto" w:fill="FFFFFF"/>
        </w:rPr>
        <w:t xml:space="preserve"> There are some obstacles within the healthcare system that cause postoperative pain to be assessed incorrectly by nurses, doctors, patients, and their caregivers. As a result, the aforementioned obstacles directly contribute to the ineffective assessment of pain, which leads to complete failure in the implementation of the necessary measures for postoperative pain management.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{"citationItems":[{"id":"ITEM-1","itemData":{"DOI":"10.1016/j.pmn.2014.02.002","ISSN":"15249042","PMID":"24981120","abstract":"Undertreatment of postoperative pain can aggravate patient outcomes and is associated with attending nurses' knowledge deficits or negative attitudes toward pain. The aim of this study was to investigate knowledge and attitudes toward postoperative pain of surgical department nurses and to identify predictors of their knowledge and attitudes. This was a descriptive, cross-sectional survey that took place in the departments of general surgery, orthopedics, neurosurgery, ear-nose-throat surgery, and obstetrics/gynecology at five Greek hospitals. Participants were a convenience sample of registered and assistant nurses. Nurses were asked to complete a three-section questionnaire, which included demographics, a Knowledge and Attitudes Survey Regarding Pain (KASRP) tool modified for postoperative pain, and seven questions capturing personal characteristics, working conditions, and feelings about work. One hundred eighty-two questionnaires were completed. Average scores were 45.35% for modified KASRP tool; 28.57% for pain assessment; 55.44% for general pain management; and 47.13% for use of analgesics. Four of the five most commonly missed items referred to use of analgesics. More previous personal experience of postoperative pain (. p = .002) and being a registered nurse (. p = .015) predicted higher modified KASRP tool score. Participation in continuing education programs and department of employment were also associated with differences in the modified tool score. The knowledge deficits and negative attitudes of the nurses toward postoperative pain highlight the role of pregraduate and continuing education, appropriately specialized for each surgical department, in the development of empathy toward patients in pain and of clinical competency regarding pain assessment and administration of analgesics.","author":[{"dropping-particle":"","family":"Kiekkas","given":"Panagiotis","non-dropping-particle":"","parse-names":false,"suffix":""},{"dropping-particle":"","family":"Gardeli","given":"Panagiota","non-dropping-particle":"","parse-names":false,"suffix":""},{"dropping-particle":"","family":"Bakalis","given":"Nick","non-dropping-particle":"","parse-names":false,"suffix":""},{"dropping-particle":"","family":"Stefanopoulos","given":"Nikolaos","non-dropping-particle":"","parse-names":false,"suffix":""},{"dropping-particle":"","family":"Adamopoulou","given":"Katerina","non-dropping-particle":"","parse-names":false,"suffix":""},{"dropping-particle":"","family":"Avdulla","given":"Christos","non-dropping-particle":"","parse-names":false,"suffix":""},{"dropping-particle":"","family":"Tzourala","given":"Georgia","non-dropping-particle":"","parse-names":false,"suffix":""},{"dropping-particle":"","family":"Konstantinou","given":"Evangelos","non-dropping-particle":"","parse-names":false,"suffix":""}],"container-title":"Pain Management Nursing","id":"ITEM-1","issue":"1","issued":{"date-parts":[["2015"]]},"page":"2-10","publisher":"American Society for Pain Management Nursing","title":"Predictors of Nurses' Knowledge and Attitudes Toward Postoperative Pain in Greece","type":"article-journal","volume":"16"},"uris":["http://www.mendeley.com/documents/?uuid=a4019826-c566-4378-925c-21dcd4f7ea1b"]}],"mendeley":{"formattedCitation":"(Kiekkas et al., 2015)","manualFormatting":"(Kiekkas et al., 2015)","plainTextFormattedCitation":"(Kiekkas et al., 2015)","previouslyFormattedCitation":"(Kiekkas et al.,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(Kiekkas et al., 2015)</w:t>
      </w:r>
      <w:r>
        <w:rPr>
          <w:rFonts w:ascii="Times New Roman" w:hAnsi="Times New Roman" w:cs="Times New Roman"/>
          <w:sz w:val="24"/>
          <w:szCs w:val="24"/>
        </w:rPr>
        <w:fldChar w:fldCharType="end"/>
      </w:r>
      <w:r>
        <w:rPr>
          <w:rFonts w:ascii="Times New Roman" w:hAnsi="Times New Roman" w:cs="Times New Roman"/>
          <w:sz w:val="24"/>
          <w:szCs w:val="24"/>
          <w:shd w:val="clear" w:color="auto" w:fill="FFFFFF"/>
        </w:rPr>
        <w:t xml:space="preserve">. </w:t>
      </w:r>
      <w:r>
        <w:rPr>
          <w:rFonts w:ascii="Times New Roman" w:hAnsi="Times New Roman" w:cs="Times New Roman"/>
          <w:bCs/>
          <w:sz w:val="24"/>
          <w:szCs w:val="24"/>
          <w:shd w:val="clear" w:color="auto" w:fill="FFFFFF"/>
        </w:rPr>
        <w:t>This necessitates a study to determine the impact of including the pain assessment scale on nurses' understanding of post-operative pain treatment.</w:t>
      </w:r>
    </w:p>
    <w:p>
      <w:pPr>
        <w:spacing w:before="100" w:beforeAutospacing="1" w:after="100" w:afterAutospacing="1"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eastAsiaTheme="minorEastAsia"/>
          <w:bCs/>
          <w:sz w:val="24"/>
          <w:szCs w:val="24"/>
        </w:rPr>
        <w:t>In a descriptive cross-sectional study, Kiwanuka and Masaba (2018) evaluated the level of knowledge among nurses at the Uganda Cancer Institute, Mulago National Referral Hospital, Kampala, Uganda, regarding pain assessment.</w:t>
      </w:r>
      <w:r>
        <w:rPr>
          <w:rFonts w:ascii="Times New Roman" w:hAnsi="Times New Roman" w:cs="Times New Roman"/>
          <w:sz w:val="24"/>
          <w:szCs w:val="24"/>
          <w:shd w:val="clear" w:color="auto" w:fill="FFFFFF"/>
        </w:rPr>
        <w:t xml:space="preserve"> </w:t>
      </w:r>
      <w:r>
        <w:rPr>
          <w:rFonts w:ascii="Times New Roman" w:hAnsi="Times New Roman" w:cs="Times New Roman" w:eastAsiaTheme="minorEastAsia"/>
          <w:sz w:val="24"/>
          <w:szCs w:val="24"/>
        </w:rPr>
        <w:t>The data demonstrated that the nurses had adequate understanding regarding pain evaluation. The majority of the respondents were able to give right answers on numerous qualities about expertise on pain evaluation. Of the 67 individuals, more than six seven percent (67.2%) were able to identify signs of pain intensity.</w:t>
      </w:r>
      <w:r>
        <w:rPr>
          <w:rFonts w:ascii="Times New Roman" w:hAnsi="Times New Roman" w:cs="Times New Roman"/>
          <w:sz w:val="24"/>
          <w:szCs w:val="24"/>
          <w:shd w:val="clear" w:color="auto" w:fill="FFFFFF"/>
        </w:rPr>
        <w:t xml:space="preserve"> Indicating good knowledge of pain management, the overall knowledge scale's average correct answer rate was 12 (interval: 0–16). </w:t>
      </w:r>
      <w:r>
        <w:rPr>
          <w:rFonts w:ascii="Times New Roman" w:hAnsi="Times New Roman" w:cs="Times New Roman" w:eastAsiaTheme="minorEastAsia"/>
          <w:sz w:val="24"/>
          <w:szCs w:val="24"/>
        </w:rPr>
        <w:t>The nurses should have adequate knowledge to assess whether a patient is going through inner, emotional, psychological and physical pain. In order to determine whether a patient is experiencing internal, emotional, psychological, or physical discomfort, nurses need be sufficiently knowledgeable.</w:t>
      </w:r>
    </w:p>
    <w:p>
      <w:pPr>
        <w:autoSpaceDE w:val="0"/>
        <w:autoSpaceDN w:val="0"/>
        <w:adjustRightInd w:val="0"/>
        <w:spacing w:before="100" w:beforeAutospacing="1" w:after="100" w:afterAutospacing="1" w:line="480" w:lineRule="auto"/>
        <w:ind w:firstLine="720"/>
        <w:jc w:val="both"/>
        <w:rPr>
          <w:rFonts w:ascii="Times New Roman" w:hAnsi="Times New Roman" w:cs="Times New Roman" w:eastAsiaTheme="minorEastAsia"/>
          <w:sz w:val="24"/>
          <w:szCs w:val="24"/>
        </w:rPr>
      </w:pPr>
      <w:r>
        <w:rPr>
          <w:rFonts w:ascii="Times New Roman" w:hAnsi="Times New Roman" w:cs="Times New Roman"/>
          <w:bCs/>
          <w:sz w:val="24"/>
          <w:szCs w:val="24"/>
        </w:rPr>
        <w:fldChar w:fldCharType="begin" w:fldLock="1"/>
      </w:r>
      <w:r>
        <w:rPr>
          <w:rFonts w:ascii="Times New Roman" w:hAnsi="Times New Roman" w:cs="Times New Roman"/>
          <w:bCs/>
          <w:sz w:val="24"/>
          <w:szCs w:val="24"/>
        </w:rPr>
        <w:instrText xml:space="preserve">ADDIN CSL_CITATION {"citationItems":[{"id":"ITEM-1","itemData":{"DOI":"10.1111/jjns.12075","ISSN":"17427924","PMID":"25781037","abstract":"Aim: To provide an overview of the administration of opioid analgesics by nurses when prescription is on an \"as-needed\" basis for postoperative pain, and to identify the important factors that determine the decisions of nurses, by using the framework of predisposing, reinforcing, and enabling causes in educational diagnosis and evaluation. Methods: Multiple databases were searched for the period from 2000-2012. Out of a total of 1755 citations and 148 abstracts retrieved, 39 studies met the criteria for inclusion. Studies were considered eligible for review if they focused on situations or factors influencing a nurse's performance in pain assessment and the administration of opioid analgesics in postoperative pain management. Results: The topics of the descriptive and qualitative studies presented four themes: (i) nurses' knowledge and attitudes about pain management; (ii) the situation of nurses' work practices in administrating range orders for opioid analgesics; (iii) factors that influenced nurses' work practices; and (iv) perceived barriers to effective pain management from the nurse's perspective. The experimental studies investigated the effects of different approaches in nurses' pain management practices in postoperative settings and their outcomes for patients. Conclusion: A knowledge deficit was observed to be the reason in most cases for a nurse's failure to administrate adequate analgesics for postoperative pain relief. Pain-related education for nurses is the cornerstone to improve pain management. The integration of enabling and reinforcing factors will help nurses to develop the ability to make the decision to engage in a comprehensive intervention to improve pain management and patient outcomes.","author":[{"dropping-particle":"","family":"Yin","given":"Hai Hui","non-dropping-particle":"","parse-names":false,"suffix":""},{"dropping-particle":"","family":"Tse","given":"Mimi M.Y.","non-dropping-particle":"","parse-names":false,"suffix":""},{"dropping-particle":"","family":"Wong","given":"Frances K.Y.","non-dropping-particle":"","parse-names":false,"suffix":""}],"container-title":"Japan Journal of Nursing Science","id":"ITEM-1","issue":"4","issued":{"date-parts":[["2015"]]},"page":"259-275","title":"Systematic review of the predisposing, enabling, and reinforcing factors which influence nursing administration of opioids in the postoperative period","type":"article-journal","volume":"12"},"uris":["http://www.mendeley.com/documents/?uuid=109a71ab-ab5c-415d-9ff8-810b4b466022"]}],"mendeley":{"formattedCitation":"(Yin et al., 2015)","manualFormatting":"Yin, Tse and Wong (2015)","plainTextFormattedCitation":"(Yin et al., 2015)","previouslyFormattedCitation":"(Yin et al., 2015)"},"properties":{"noteIndex":0},"schema":"https://github.com/citation-style-language/schema/raw/master/csl-citation.json"}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sz w:val="24"/>
          <w:szCs w:val="24"/>
        </w:rPr>
        <w:t>Yin, Tse and Wong (2015)</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Pr>
          <w:rFonts w:ascii="Times New Roman" w:hAnsi="Times New Roman" w:cs="Times New Roman" w:eastAsiaTheme="minorEastAsia"/>
          <w:sz w:val="24"/>
          <w:szCs w:val="24"/>
        </w:rPr>
        <w:t>using the framework of predisposing, reinforcing, and enabling causes in educational diagnosis and evaluation, a systematic review was conducted to provide an overview of the administration of opioid analgesics by nurses when prescription is on “as-needed" basis for postoperative pain and to identify the significant factors that influence nurses' decisions.</w:t>
      </w:r>
    </w:p>
    <w:p>
      <w:pPr>
        <w:autoSpaceDE w:val="0"/>
        <w:autoSpaceDN w:val="0"/>
        <w:adjustRightInd w:val="0"/>
        <w:spacing w:before="100" w:beforeAutospacing="1" w:after="100" w:afterAutospacing="1" w:line="480" w:lineRule="auto"/>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The results demonstrated that nurses' failure to provide enough analgesics for postoperative pain management was due to a knowledge deficit. The key to better pain management is educating nurses about pain. Despite all the mentioned measures used in post-operative management, it’s not mentioned anywhere that pain assessment was applied, making it crucial to be applied in post-operative pain management.</w:t>
      </w:r>
    </w:p>
    <w:p>
      <w:pPr>
        <w:spacing w:before="100" w:beforeAutospacing="1" w:after="100" w:afterAutospacing="1"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a private tertiary care hospital in Peshawar, Pakistan, a quantitative descriptive cross-sectional study was done to examine nurses' understanding of post-operative pain management.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 xml:space="preserve">ADDIN CSL_CITATION {"citationItems":[{"id":"ITEM-1","itemData":{"DOI":"10.4172/2472-1654.100151","author":[{"dropping-particle":"","family":"Zeb","given":"Aurang","non-dropping-particle":"","parse-names":false,"suffix":""},{"dropping-particle":"","family":"Farhana","given":"","non-dropping-particle":"","parse-names":false,"suffix":""},{"dropping-particle":"","family":"Jewewria","given":"","non-dropping-particle":"","parse-names":false,"suffix":""},{"dropping-particle":"","family":"Marym","given":"","non-dropping-particle":"","parse-names":false,"suffix":""},{"dropping-particle":"","family":"Nadra Bi Bi","given":"Uzma","non-dropping-particle":"","parse-names":false,"suffix":""}],"container-title":"Journal of Healthcare Communications","id":"ITEM-1","issue":"01","issued":{"date-parts":[["2019"]]},"page":"4-7","title":"Nurses Knowledge Regarding Post-operative Pain Management","type":"article-journal","volume":"04"},"uris":["http://www.mendeley.com/documents/?uuid=abfab5d7-52a6-465b-98e4-3f2782011b63"]}],"mendeley":{"formattedCitation":"(Zeb et al., 2019)","manualFormatting":"Zeb et al. (2019)","plainTextFormattedCitation":"(Zeb et al., 2019)","previouslyFormattedCitation":"(Zeb et al., 2019)"},"properties":{"noteIndex":0},"schema":"https://github.com/citation-style-language/schema/raw/master/csl-citation.json"}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sz w:val="24"/>
          <w:szCs w:val="24"/>
        </w:rPr>
        <w:t>Zeb et al. (2019)</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Pr>
          <w:rFonts w:ascii="Times New Roman" w:hAnsi="Times New Roman" w:cs="Times New Roman" w:eastAsiaTheme="minorEastAsia"/>
          <w:sz w:val="24"/>
          <w:szCs w:val="24"/>
        </w:rPr>
        <w:t>discovered that none of the participants had inadequate understanding of post-operative pain treatment, whereas 6.7% of participants had average knowledge, 71.7% had high knowledge, and 21.7% had exceptional knowledge.</w:t>
      </w:r>
      <w:r>
        <w:rPr>
          <w:rFonts w:ascii="Times New Roman" w:hAnsi="Times New Roman" w:cs="Times New Roman"/>
          <w:sz w:val="24"/>
          <w:szCs w:val="24"/>
        </w:rPr>
        <w:t xml:space="preserve"> Ninety five percent of the participants (95%) agreed that pain is described as a bad sensory, emotional, and mental experience brought on by real or probable tissue damage.</w:t>
      </w:r>
    </w:p>
    <w:p>
      <w:pPr>
        <w:spacing w:before="100" w:beforeAutospacing="1" w:after="100" w:afterAutospacing="1"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Moreover, 95% of participants believe that pain should be considered as the fifth vital sign, following the pulse, respiration rate, temperature, and blood pressure. Furthermore, more than 78% (78.3%) of the nurses thought that it was possible to tell when a patient was in pain by the way they behaved nonverbally. Besides, nurses are urged to rely on patients' own accounts as the lone source of information regarding the presence and degree of pain.</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 xml:space="preserve">ADDIN CSL_CITATION {"citationItems":[{"id":"ITEM-1","itemData":{"DOI":"10.4172/2472-1654.100151","author":[{"dropping-particle":"","family":"Zeb","given":"Aurang","non-dropping-particle":"","parse-names":false,"suffix":""},{"dropping-particle":"","family":"Farhana","given":"","non-dropping-particle":"","parse-names":false,"suffix":""},{"dropping-particle":"","family":"Jewewria","given":"","non-dropping-particle":"","parse-names":false,"suffix":""},{"dropping-particle":"","family":"Marym","given":"","non-dropping-particle":"","parse-names":false,"suffix":""},{"dropping-particle":"","family":"Nadra Bi Bi","given":"Uzma","non-dropping-particle":"","parse-names":false,"suffix":""}],"container-title":"Journal of Healthcare Communications","id":"ITEM-1","issue":"01","issued":{"date-parts":[["2019"]]},"page":"4-7","title":"Nurses Knowledge Regarding Post-operative Pain Management","type":"article-journal","volume":"04"},"uris":["http://www.mendeley.com/documents/?uuid=abfab5d7-52a6-465b-98e4-3f2782011b63"]}],"mendeley":{"formattedCitation":"(Zeb et al., 2019)","plainTextFormattedCitation":"(Zeb et al., 2019)","previouslyFormattedCitation":"(Zeb et al., 2019)"},"properties":{"noteIndex":0},"schema":"https://github.com/citation-style-language/schema/raw/master/csl-citation.json"}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sz w:val="24"/>
          <w:szCs w:val="24"/>
        </w:rPr>
        <w:t>(Zeb et al., 2019)</w:t>
      </w:r>
      <w:r>
        <w:rPr>
          <w:rFonts w:ascii="Times New Roman" w:hAnsi="Times New Roman" w:cs="Times New Roman"/>
          <w:bCs/>
          <w:sz w:val="24"/>
          <w:szCs w:val="24"/>
        </w:rPr>
        <w:fldChar w:fldCharType="end"/>
      </w:r>
      <w:r>
        <w:rPr>
          <w:rFonts w:ascii="Times New Roman" w:hAnsi="Times New Roman" w:cs="Times New Roman"/>
          <w:bCs/>
          <w:sz w:val="24"/>
          <w:szCs w:val="24"/>
        </w:rPr>
        <w:t>.</w:t>
      </w:r>
      <w:r>
        <w:rPr>
          <w:rFonts w:ascii="Times New Roman" w:hAnsi="Times New Roman" w:cs="Times New Roman"/>
          <w:sz w:val="24"/>
          <w:szCs w:val="24"/>
          <w:shd w:val="clear" w:color="auto" w:fill="FFFFFF"/>
        </w:rPr>
        <w:t xml:space="preserve"> Despite all the above measures, it was not indicated anywhere that pain assessment was part of the management. </w:t>
      </w:r>
    </w:p>
    <w:p>
      <w:pPr>
        <w:spacing w:before="100" w:beforeAutospacing="1" w:after="100" w:afterAutospacing="1" w:line="480" w:lineRule="auto"/>
        <w:ind w:firstLine="720"/>
        <w:jc w:val="both"/>
        <w:rPr>
          <w:rFonts w:ascii="Times New Roman" w:hAnsi="Times New Roman" w:cs="Times New Roman"/>
          <w:sz w:val="24"/>
          <w:szCs w:val="24"/>
        </w:rPr>
      </w:pPr>
      <w:r>
        <w:rPr>
          <w:rFonts w:ascii="Times New Roman" w:hAnsi="Times New Roman" w:cs="Times New Roman"/>
          <w:bCs/>
          <w:sz w:val="24"/>
          <w:szCs w:val="24"/>
          <w:shd w:val="clear" w:color="auto" w:fill="FFFFFF"/>
        </w:rPr>
        <w:fldChar w:fldCharType="begin" w:fldLock="1"/>
      </w:r>
      <w:r>
        <w:rPr>
          <w:rFonts w:ascii="Times New Roman" w:hAnsi="Times New Roman" w:cs="Times New Roman"/>
          <w:bCs/>
          <w:sz w:val="24"/>
          <w:szCs w:val="24"/>
          <w:shd w:val="clear" w:color="auto" w:fill="FFFFFF"/>
        </w:rPr>
        <w:instrText xml:space="preserve">ADDIN CSL_CITATION {"citationItems":[{"id":"ITEM-1","itemData":{"DOI":"10.1155/2020/4893707","ISSN":"12036765","PMID":"32831982","abstract":"Background. Pain management is a very important aspect of nursing care among postoperative patients. Deficit in the knowledge and bad attitude towards pain management among nurses remain a problem in Ghana. In order to manage pain better in the surgical wards, nurses should be well equipped with knowledge of pain assessment and management. Purpose. The purpose of the study was to determine nurse's knowledge and attitude towards pain management among postoperative patients in surgical units in Ghana. Methodology. This study used the quantitative study approach with a descriptive cross-sectional study design. A sample of 211 nurses was recruited using the convenience sampling method. Data were collected using a questionnaire regarding postoperative pain management. Descriptive statistics, Pearson's correlation coefficient, and the chi-squared test were used to analyze the data using SPSS version 16.0. Results. The mean age of the nurses was 29.77, with the youngest nurse being 23 years and oldest being 39 years. Majority (72.5%) of nurses had moderate knowledge, and 89.6% of the nurses had negative attitude towards pain management. There was no significant relationship between nurse's knowledge and years of experience as a nurse (r = -0.03, p=0.64), as well as no significant relationship between knowledge and number of years working in the surgical ward (r = 0.06, p=0.36). Also, there was no significant relationship between nurses' knowledge and nurses' attitude (r = 0.06, p=0.36). Conclusion and recommendation. The level of knowledge and attitude towards postoperative management were generally inadequate among nurses. Therefore, there is the need to implement in-service training on pain management for nurses working in the surgical units frequently.","author":[{"dropping-particle":"","family":"Adams","given":"Shamsu Deen Mahama","non-dropping-particle":"","parse-names":false,"suffix":""},{"dropping-particle":"","family":"Varaei","given":"Shokoh","non-dropping-particle":"","parse-names":false,"suffix":""},{"dropping-particle":"","family":"Jalalinia","given":"Fatemeh","non-dropping-particle":"","parse-names":false,"suffix":""}],"container-title":"Pain Research and Management","id":"ITEM-1","issued":{"date-parts":[["2020"]]},"title":"Nurses' Knowledge and Attitude towards Postoperative Pain Management in Ghana","type":"article-journal","volume":"2020"},"uris":["http://www.mendeley.com/documents/?uuid=c6b5b873-d7ff-4f6a-a24f-469c5e7cb282"]}],"mendeley":{"formattedCitation":"(Adams et al., 2020)","manualFormatting":"Adams, Varaei, and Jalalinia (2020)","plainTextFormattedCitation":"(Adams et al., 2020)","previouslyFormattedCitation":"(Adams et al., 2020)"},"properties":{"noteIndex":0},"schema":"https://github.com/citation-style-language/schema/raw/master/csl-citation.json"}</w:instrText>
      </w:r>
      <w:r>
        <w:rPr>
          <w:rFonts w:ascii="Times New Roman" w:hAnsi="Times New Roman" w:cs="Times New Roman"/>
          <w:bCs/>
          <w:sz w:val="24"/>
          <w:szCs w:val="24"/>
          <w:shd w:val="clear" w:color="auto" w:fill="FFFFFF"/>
        </w:rPr>
        <w:fldChar w:fldCharType="separate"/>
      </w:r>
      <w:r>
        <w:rPr>
          <w:rFonts w:ascii="Times New Roman" w:hAnsi="Times New Roman" w:cs="Times New Roman"/>
          <w:bCs/>
          <w:sz w:val="24"/>
          <w:szCs w:val="24"/>
          <w:shd w:val="clear" w:color="auto" w:fill="FFFFFF"/>
        </w:rPr>
        <w:t>Adams, Varaei, and Jalalinia (2020)</w:t>
      </w:r>
      <w:r>
        <w:rPr>
          <w:rFonts w:ascii="Times New Roman" w:hAnsi="Times New Roman" w:cs="Times New Roman"/>
          <w:bCs/>
          <w:sz w:val="24"/>
          <w:szCs w:val="24"/>
          <w:shd w:val="clear" w:color="auto" w:fill="FFFFFF"/>
        </w:rPr>
        <w:fldChar w:fldCharType="end"/>
      </w:r>
      <w:r>
        <w:rPr>
          <w:rFonts w:ascii="Times New Roman" w:hAnsi="Times New Roman" w:cs="Times New Roman"/>
          <w:bCs/>
          <w:sz w:val="24"/>
          <w:szCs w:val="24"/>
          <w:shd w:val="clear" w:color="auto" w:fill="FFFFFF"/>
        </w:rPr>
        <w:t>,</w:t>
      </w:r>
      <w:r>
        <w:rPr>
          <w:rFonts w:ascii="Times New Roman" w:hAnsi="Times New Roman" w:cs="Times New Roman"/>
          <w:sz w:val="24"/>
          <w:szCs w:val="24"/>
        </w:rPr>
        <w:t xml:space="preserve"> conducted a descriptive cross-sectional quantitative study in Ghana's surgical facilities to ascertain the knowledge and attitudes of nurses concerning pain management among post-operative patients.</w:t>
      </w:r>
      <w:r>
        <w:rPr>
          <w:rFonts w:ascii="Times New Roman" w:hAnsi="Times New Roman" w:cs="Times New Roman"/>
          <w:sz w:val="24"/>
          <w:szCs w:val="24"/>
          <w:shd w:val="clear" w:color="auto" w:fill="FFFFFF"/>
        </w:rPr>
        <w:t xml:space="preserve"> Among </w:t>
      </w:r>
      <w:r>
        <w:rPr>
          <w:rFonts w:ascii="Times New Roman" w:hAnsi="Times New Roman" w:eastAsia="Times New Roman" w:cs="Times New Roman"/>
          <w:bCs/>
          <w:kern w:val="36"/>
          <w:sz w:val="24"/>
          <w:szCs w:val="24"/>
        </w:rPr>
        <w:t>211nurses, the majority (</w:t>
      </w:r>
      <w:r>
        <w:rPr>
          <w:rFonts w:ascii="Times New Roman" w:hAnsi="Times New Roman" w:cs="Times New Roman"/>
          <w:sz w:val="24"/>
          <w:szCs w:val="24"/>
        </w:rPr>
        <w:t xml:space="preserve">79.1%) of the nurses had moderate knowledge </w:t>
      </w:r>
      <w:r>
        <w:rPr>
          <w:rFonts w:ascii="Times New Roman" w:hAnsi="Times New Roman" w:cs="Times New Roman"/>
          <w:sz w:val="24"/>
          <w:szCs w:val="24"/>
          <w:shd w:val="clear" w:color="auto" w:fill="FFFFFF"/>
        </w:rPr>
        <w:t>and only20.9% had adequate knowledge</w:t>
      </w:r>
      <w:r>
        <w:rPr>
          <w:rFonts w:ascii="Times New Roman" w:hAnsi="Times New Roman" w:cs="Times New Roman"/>
          <w:sz w:val="24"/>
          <w:szCs w:val="24"/>
        </w:rPr>
        <w:t xml:space="preserve">. More than sixty three percent (63.5%) disagreed with the assertion </w:t>
      </w:r>
      <w:r>
        <w:rPr>
          <w:rFonts w:ascii="Times New Roman" w:hAnsi="Times New Roman" w:cs="Times New Roman"/>
          <w:sz w:val="24"/>
          <w:szCs w:val="24"/>
          <w:shd w:val="clear" w:color="auto" w:fill="FFFFFF"/>
        </w:rPr>
        <w:t>“Vital signs are always reliable indicators of the intensity of a patient’s pain “since the majority of respondents (61.6%) had never received training on pain management The aforementioned studies showed that nurses lack knowledge of the proper methods for assessing pain.</w:t>
      </w:r>
    </w:p>
    <w:p>
      <w:pPr>
        <w:spacing w:before="100" w:beforeAutospacing="1" w:after="100" w:afterAutospacing="1" w:line="48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fldChar w:fldCharType="begin" w:fldLock="1"/>
      </w:r>
      <w:r>
        <w:rPr>
          <w:rFonts w:ascii="Times New Roman" w:hAnsi="Times New Roman" w:cs="Times New Roman"/>
          <w:color w:val="000000" w:themeColor="text1"/>
          <w:sz w:val="24"/>
          <w:szCs w:val="24"/>
          <w14:textFill>
            <w14:solidFill>
              <w14:schemeClr w14:val="tx1"/>
            </w14:solidFill>
          </w14:textFill>
        </w:rPr>
        <w:instrText xml:space="preserve">ADDIN CSL_CITATION {"citationItems":[{"id":"ITEM-1","itemData":{"DOI":"10.1177/2377960818790383","ISSN":"23779608","abstract":"Introduction: There is documented evidence pointing to the fact that there are numerous challenges with postoperative pain (POP) management globally. However, these challenges with POP management are more profound in developing countries. Purpose: The purpose of this study is to examine the knowledge, attitude, and practices of nurses concerning POP management in four selected district hospitals in Ghana. Methodology: A descriptive, cross-sectional survey was employed to evaluate nurse's knowledge, attitude, and practices pertaining to POP management. Multistaged sampling was used to draw the respondents. An adapted version of the Nurses Knowledge and Attitudes Survey Regarding Pain instrument was used to test the knowledge, attitude, and practices of nurses and midwives. Descriptive statistics were used to analyze the data in order to present quantitative descriptions of variables in this study. Results: This study showed that nurses in the four district hospitals had knowledge deficits regarding POP management. Eighty-one representing 48% of nurses had low knowledge on POP management. An overwhelming majority of nurses (97.6%) relied on routinely rendered basic nursing skills to relieve POP and a few used pharmacological interventions. However, nurses had good attitudes toward POP management. Conclusions: POP is ineffectively managed by nurses in district hospitals in Ghana. Nurses and midwives in Ghana need to adhere to best practices in POP management by increasing their theoretical and practical knowledge, so that there will be tangible positive change in POP management in Ghana. Recommendations: Nurses must be empowered through continuous development programs to keep abreast with changing trends that pertain to POP management.","author":[{"dropping-particle":"","family":"Menlah","given":"Awube","non-dropping-particle":"","parse-names":false,"suffix":""},{"dropping-particle":"","family":"Garti","given":"Isabella","non-dropping-particle":"","parse-names":false,"suffix":""},{"dropping-particle":"","family":"Amoo","given":"Sarah Ama","non-dropping-particle":"","parse-names":false,"suffix":""},{"dropping-particle":"","family":"Atakro","given":"Confidence Alorse","non-dropping-particle":"","parse-names":false,"suffix":""},{"dropping-particle":"","family":"Amponsah","given":"Caleb","non-dropping-particle":"","parse-names":false,"suffix":""},{"dropping-particle":"","family":"Agyare","given":"Dorcas Frempomaa","non-dropping-particle":"","parse-names":false,"suffix":""}],"container-title":"SAGE Open Nursing","id":"ITEM-1","issued":{"date-parts":[["2018"]]},"page":"1-11","title":"Knowledge, Attitudes, and Practices of Postoperative Pain Management by Nurses in Selected District Hospitals in Ghana","type":"article-journal","volume":"4"},"uris":["http://www.mendeley.com/documents/?uuid=07b40d8d-551e-4a98-9e1d-ebebaef22123"]}],"mendeley":{"formattedCitation":"(Menlah et al., 2018)","manualFormatting":"Menlah et al. (2018)","plainTextFormattedCitation":"(Menlah et al., 2018)","previouslyFormattedCitation":"(Menlah et al., 2018)"},"properties":{"noteIndex":0},"schema":"https://github.com/citation-style-language/schema/raw/master/csl-citation.json"}</w:instrText>
      </w:r>
      <w:r>
        <w:rPr>
          <w:rFonts w:ascii="Times New Roman" w:hAnsi="Times New Roman" w:cs="Times New Roman"/>
          <w:color w:val="000000" w:themeColor="text1"/>
          <w:sz w:val="24"/>
          <w:szCs w:val="24"/>
          <w14:textFill>
            <w14:solidFill>
              <w14:schemeClr w14:val="tx1"/>
            </w14:solidFill>
          </w14:textFill>
        </w:rPr>
        <w:fldChar w:fldCharType="separate"/>
      </w:r>
      <w:r>
        <w:rPr>
          <w:rFonts w:ascii="Times New Roman" w:hAnsi="Times New Roman" w:cs="Times New Roman"/>
          <w:color w:val="000000" w:themeColor="text1"/>
          <w:sz w:val="24"/>
          <w:szCs w:val="24"/>
          <w14:textFill>
            <w14:solidFill>
              <w14:schemeClr w14:val="tx1"/>
            </w14:solidFill>
          </w14:textFill>
        </w:rPr>
        <w:t>Menlah et al. (2018)</w:t>
      </w:r>
      <w:r>
        <w:rPr>
          <w:rFonts w:ascii="Times New Roman" w:hAnsi="Times New Roman" w:cs="Times New Roman"/>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t>in a study to look at the knowledge, attitude and practices of 194 nurses in Ghana's four district hospitals about post-operative pain management identified a knowledge gap since just 52% of the participant nurses were knowledgeable. More than fifty eight percent (58.3%) of the participants agreed with the claim that "the patient's primary nurse is the most accurate assessor of the level of the patient's pain," hence it failed.</w:t>
      </w:r>
      <w:r>
        <w:rPr>
          <w:rFonts w:ascii="Times New Roman" w:hAnsi="Times New Roman" w:cs="Times New Roman"/>
          <w:color w:val="000000" w:themeColor="text1"/>
          <w:sz w:val="24"/>
          <w:szCs w:val="24"/>
          <w14:textFill>
            <w14:solidFill>
              <w14:schemeClr w14:val="tx1"/>
            </w14:solidFill>
          </w14:textFill>
        </w:rPr>
        <w:t xml:space="preserve"> However, the nurses in this study acknowledged that they lacked the necessary knowledge and evaluation abilities to effectively manage post-operative pain. The nurse's expertise may therefore be positively impacted by including the pain evaluation scale into post-operative pain treatment.</w:t>
      </w:r>
    </w:p>
    <w:p>
      <w:pPr>
        <w:spacing w:before="100" w:beforeAutospacing="1" w:after="100" w:afterAutospacing="1" w:line="480" w:lineRule="auto"/>
        <w:ind w:firstLine="720"/>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In Almadinah Almunawwarah, Saudi Arabia, a study was carried out in accordance with Al-Quliti and Alamri (2015) to give information on knowledge and attitudes about pain assessment among health care practitioners.</w:t>
      </w:r>
      <w:r>
        <w:rPr>
          <w:rFonts w:ascii="Times New Roman" w:hAnsi="Times New Roman" w:cs="Times New Roman"/>
          <w:sz w:val="24"/>
          <w:szCs w:val="24"/>
          <w:shd w:val="clear" w:color="auto" w:fill="FFFFFF"/>
        </w:rPr>
        <w:t xml:space="preserve"> According to the findings, out of the 105 individuals</w:t>
      </w:r>
      <w:r>
        <w:rPr>
          <w:rFonts w:ascii="Times New Roman" w:hAnsi="Times New Roman" w:cs="Times New Roman" w:eastAsiaTheme="minorEastAsia"/>
          <w:sz w:val="24"/>
          <w:szCs w:val="24"/>
        </w:rPr>
        <w:t xml:space="preserve">, 73 scored 44% or below on knowledge of pain (69.5%), and 32 participants scored 45% and above (30.5%). Moreover, </w:t>
      </w:r>
      <w:r>
        <w:rPr>
          <w:rFonts w:ascii="Times New Roman" w:hAnsi="Times New Roman" w:cs="Times New Roman"/>
          <w:sz w:val="24"/>
          <w:szCs w:val="24"/>
          <w:shd w:val="clear" w:color="auto" w:fill="FFFFFF"/>
        </w:rPr>
        <w:t>the nurses’ scores on pain knowledge: 67 nurses (77.9%) scored 44% and below, and 19 nurses (22.1%) scored 45%, and only</w:t>
      </w:r>
      <w:r>
        <w:rPr>
          <w:rFonts w:ascii="Times New Roman" w:hAnsi="Times New Roman" w:cs="Times New Roman" w:eastAsiaTheme="minorEastAsia"/>
          <w:sz w:val="24"/>
          <w:szCs w:val="24"/>
        </w:rPr>
        <w:t xml:space="preserve"> 6participants (5.7%) scored above 60%, which is an accepted passing rate. Findings point to a considerable knowledge gap in pain assessment, necessitating extensive pain assessment education to improve nurses' understanding of pain assessment and treatment.</w:t>
      </w:r>
    </w:p>
    <w:p>
      <w:pPr>
        <w:spacing w:before="100" w:beforeAutospacing="1" w:after="100" w:afterAutospacing="1" w:line="480" w:lineRule="auto"/>
        <w:ind w:firstLine="720"/>
        <w:jc w:val="both"/>
        <w:rPr>
          <w:rFonts w:ascii="Times New Roman" w:hAnsi="Times New Roman" w:cs="Times New Roman"/>
          <w:sz w:val="24"/>
          <w:szCs w:val="24"/>
        </w:rPr>
      </w:pPr>
      <w:r>
        <w:rPr>
          <w:rFonts w:ascii="Times New Roman" w:hAnsi="Times New Roman" w:cs="Times New Roman"/>
          <w:sz w:val="24"/>
          <w:szCs w:val="24"/>
        </w:rPr>
        <w:t>Remarkably, t</w:t>
      </w:r>
      <w:r>
        <w:rPr>
          <w:rFonts w:ascii="Times New Roman" w:hAnsi="Times New Roman" w:cs="Times New Roman"/>
          <w:bCs/>
          <w:sz w:val="24"/>
          <w:szCs w:val="24"/>
        </w:rPr>
        <w:t>here are reports of problems to post-operative pain care by nurses globally, including inadequate recordkeeping, inadequate patient assessment, and improper administration of analgesics.</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 xml:space="preserve">ADDIN CSL_CITATION {"citationItems":[{"id":"ITEM-1","itemData":{"DOI":"10.4314/thrb.v16i1.7","ISSN":"18216404","PMID":"26867272","abstract":"Inadequately controlled postoperative pain (POP) subjects individuals to complications which may be fatal or leading to prolonged hospital stay. Complications from inadequately controlled POP may alleviate the existing shortage of hospital human resource for health in health facilities in developing countries. The burden and challenges of POP management at health facilities in Tanzania is not known. This study was therefore carried out to evaluate postoperative pain management and patient satisfaction with care given at Kilimanjaro Christian Medical Centre (KCMC). This descriptive prospective hospital based study, was conducted at the Kilimanjaro Christian Medical Centre in Moshi, Tanzania from August 2011 to March 2012. POP and patients' satisfaction with pain relief scores were assessed using pain and satisfaction numerical rating scales. Pain assessment was done at 24 hours and 48 hours after operation. Satisfaction was assessed on 48 hours post surgery. All adult patient aged 18 years and above whom were operated in general surgery ward, KCMC and accepted by signing consent were involved in the study. Patients suffering from nervous system were excluded from the study. A total number of 124 patients were recruited and participated in the study. Sixty-five (52.4%) were males and 59 (47.6%) females. Mean age (SD) years 40.9 ± 15.4. The largest percentage of individuals had mild pain both at rest (45.2%) and during movement (44.4%). Patients whose analgesia was administered intravenously were more likely to be satisfied with POP management than those given intramuscular analgesics (P= 0.028). Analgesia used in combination increased significantly the proportion of pain free individuals 48 hours postoperative compared to 24 hours postoperative (P= 0.003). In conclusion, the postoperative pain management is still a challenge in our centre as nearly half of the patient had mild pain in the first 48 hours post surgery.","author":[{"dropping-particle":"","family":"Masigati","given":"Herbert G.","non-dropping-particle":"","parse-names":false,"suffix":""},{"dropping-particle":"","family":"Chilonga","given":"Kondo S.","non-dropping-particle":"","parse-names":false,"suffix":""}],"container-title":"Tanzania Journal of Health Research","id":"ITEM-1","issue":"1","issued":{"date-parts":[["2014"]]},"title":"Postoperative pain management outcomes among adults treated at a tertiary hospital in Moshi, Tanzania","type":"article-journal","volume":"16"},"uris":["http://www.mendeley.com/documents/?uuid=b7f7f79a-e874-4a8b-bae8-88a639bd37eb"]}],"mendeley":{"formattedCitation":"(Masigati &amp; Chilonga, 2014)","plainTextFormattedCitation":"(Masigati &amp; Chilonga, 2014)","previouslyFormattedCitation":"(Masigati &amp; Chilonga, 2014)"},"properties":{"noteIndex":0},"schema":"https://github.com/citation-style-language/schema/raw/master/csl-citation.json"}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sz w:val="24"/>
          <w:szCs w:val="24"/>
        </w:rPr>
        <w:t>(Masigati &amp; Chilonga, 2014)</w:t>
      </w:r>
      <w:r>
        <w:rPr>
          <w:rFonts w:ascii="Times New Roman" w:hAnsi="Times New Roman" w:cs="Times New Roman"/>
          <w:bCs/>
          <w:sz w:val="24"/>
          <w:szCs w:val="24"/>
        </w:rPr>
        <w:fldChar w:fldCharType="end"/>
      </w:r>
      <w:r>
        <w:rPr>
          <w:rFonts w:ascii="Times New Roman" w:hAnsi="Times New Roman" w:cs="Times New Roman"/>
          <w:bCs/>
          <w:sz w:val="24"/>
          <w:szCs w:val="24"/>
        </w:rPr>
        <w:t>.</w:t>
      </w:r>
      <w:r>
        <w:rPr>
          <w:rFonts w:ascii="Times New Roman" w:hAnsi="Times New Roman" w:cs="Times New Roman"/>
          <w:sz w:val="24"/>
          <w:szCs w:val="24"/>
        </w:rPr>
        <w:t xml:space="preserve"> Ineffective post-operative pain management has been linked by other researchers to higher nursing workloads, communication problems, a lack of understanding on how to manage post-operative pain, and organizational change issues</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 xml:space="preserve">ADDIN CSL_CITATION {"citationItems":[{"id":"ITEM-1","itemData":{"DOI":"10.1185/03007995.2015.1092122","ISSN":"14734877","PMID":"26359332","abstract":"Poor management of post-operative acute pain can contribute to medical complications including pneumonia, deep vein thrombosis, infection and delayed healing, as well as the development of chronic pain. It is therefore important that all patients undergoing surgery should receive adequate pain management. However, evidence suggests this is not currently the case; between 10% and 50% of patients develop chronic pain after various common operations, and one recent US study recorded &gt;80% of patients experiencing post-operative pain.At the first meeting of the acute chapter of the Change Pain Advisory Board, key priorities for improving post-operative pain management were identified in four different areas. Firstly, patients should be more involved in decisions regarding their own treatment, particularly when fateful alternatives are being considered. For this to be meaningful, relevant information should be provided so they are well informed about the various options available. Good physician/patient communication is also essential. Secondly, better professional education and training of the various members of the multidisciplinary pain management team would enhance their skills and knowledge, and thereby improve patient care. Thirdly, there is scope for optimizing treatment. Examples include the use of synergistic analgesia to target pain at different points along pain pathways, more widespread adoption of patient-controlled analgesia, and the use of minimally invasive rather than open surgery. Fourthly, organizational change could provide similar benefits; introducing acute pain services and increasing their availability towards the 24 hours/day ideal, greater adherence to protocols, increased use of patient-reported outcomes, and greater receptivity to technological advances would all help to enhance performance and increase patient satisfaction. It must be acknowledged that implementing these recommendations would incur a considerable cost that purchasers of healthcare may be unwilling or unable to finance. Nevertheless, change is under way and the political will exists for it to continue.","author":[{"dropping-particle":"","family":"Meissner","given":"Winfried","non-dropping-particle":"","parse-names":false,"suffix":""},</w:instrText>
      </w:r>
      <w:r>
        <w:rPr>
          <w:rFonts w:ascii="Times New Roman" w:hAnsi="Times New Roman" w:cs="Times New Roman"/>
          <w:bCs/>
          <w:sz w:val="24"/>
          <w:szCs w:val="24"/>
          <w:lang w:val="fr-FR"/>
        </w:rPr>
        <w:instrText xml:space="preserve">{"dropping-particle":"","family":"Coluzzi","given":"Flaminia","non-dropping-particle":"","parse-names":false,"suffix":""},{"dropping-particle":"","family":"Fletcher","given":"Dominique","non-dropping-particle":"","parse-names":false,"suffix":""},{"dropping-particle":"","family":"Huygen","given":"Frank","non-dropping-particle":"","parse-names":false,"suffix":""},{"dropping-particle":"","family":"Morlion","given":"Bart","non-dropping-particle":"","parse-names":false,"suffix":""},{"dropping-particle":"","family":"Neugebauer","given":"Edmund","non-dropping-particle":"","parse-names":false,"suffix":""},{"dropping-particle":"","family":"Pérez","given":"Antonio Montes","non-dropping-particle":"","parse-names":false,"suffix":""},{"dropping-particle":"","family":"Pergolizzi","given":"Joseph","non-dropping-particle":"","parse-names":false,"suffix":""}],"container-title":"Current Medical Research and Opinion","id":"ITEM-1","issue":"11","issued":{"date-parts":[["2015"]]},"page":"2131-2143","title":"Improving the management of post-operative acute pain: Priorities for change","type":"article-journal","volume":"31"},"uris":["http://www.mendeley.com/documents/?uuid=28cd6f52-80ad-4195-8eec-92e03fd3e012"]}],"mendeley":{"formattedCitation":"(Meissner et al., 2015)","plainTextFormattedCitation":"(Meissner et al., 2015)","previouslyFormattedCitation":"(Meissner et al., 2015)"},"properties":{"noteIndex":0},"schema":"https://github.com/citation-style-language/schema/raw/master/csl-citation.json"}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sz w:val="24"/>
          <w:szCs w:val="24"/>
          <w:lang w:val="fr-FR"/>
        </w:rPr>
        <w:t>(Meissner et al., 2015</w:t>
      </w:r>
      <w:r>
        <w:rPr>
          <w:rFonts w:ascii="Times New Roman" w:hAnsi="Times New Roman" w:cs="Times New Roman"/>
          <w:bCs/>
          <w:sz w:val="24"/>
          <w:szCs w:val="24"/>
        </w:rPr>
        <w:fldChar w:fldCharType="end"/>
      </w:r>
      <w:r>
        <w:rPr>
          <w:rFonts w:ascii="Times New Roman" w:hAnsi="Times New Roman" w:cs="Times New Roman"/>
          <w:bCs/>
          <w:sz w:val="24"/>
          <w:szCs w:val="24"/>
          <w:lang w:val="fr-FR"/>
        </w:rPr>
        <w:t>;</w:t>
      </w:r>
      <w:r>
        <w:rPr>
          <w:rFonts w:ascii="Times New Roman" w:hAnsi="Times New Roman" w:cs="Times New Roman"/>
          <w:bCs/>
          <w:color w:val="C00000"/>
          <w:sz w:val="24"/>
          <w:szCs w:val="24"/>
          <w:lang w:val="fr-FR"/>
        </w:rPr>
        <w:t xml:space="preserve"> </w:t>
      </w:r>
      <w:r>
        <w:rPr>
          <w:rFonts w:ascii="Times New Roman" w:hAnsi="Times New Roman" w:cs="Times New Roman"/>
          <w:bCs/>
          <w:sz w:val="24"/>
          <w:szCs w:val="24"/>
        </w:rPr>
        <w:fldChar w:fldCharType="begin" w:fldLock="1"/>
      </w:r>
      <w:r>
        <w:rPr>
          <w:rFonts w:ascii="Times New Roman" w:hAnsi="Times New Roman" w:cs="Times New Roman"/>
          <w:bCs/>
          <w:sz w:val="24"/>
          <w:szCs w:val="24"/>
          <w:lang w:val="fr-FR"/>
        </w:rPr>
        <w:instrText xml:space="preserve">ADDIN CSL_CITATION {"citationItems":[{"id":"ITEM-1","itemData":{"ISBN":"9783319063041","abstract":"Adequate pain management is a compelling and universal requirement in health care. Despite considerable advancements, the adverse physiological and psychological implications of unmanaged pain remain substantially unresolved. Ineffective pain management can lead to a marked decrease in desirable clinical and psychological outcomes and patients’ overall quality of life. Effective management of acute pain results in improved patient outcomes and increased patient satisfaction. Although research and advanced treat- ments in improved practice protocols have documented progressive improvements in management of acute and postoperative pain, little awareness of the effectiveness of best practices persists. Improved interventions can enhance patients’ attitudes to and perceptions of pain. What a patient believes and understands about pain is critical in influencing the patient’s reaction to the pain therapy provided. Use of interdisciplinary pain teams can lead to improvements in patients’ pain management, pain education, outcomes, and satisfaction. (Critical Care Nurse. 2015;35[3]:33-43) E","author":[{"dropping-particle":"","family":"Diane Glowacki","given":"RN","non-dropping-particle":"","parse-names":false,"suffix":""}],"container-title":"CriticalCareNurse Vol","id":"ITEM-1","issue":"November","issued":{"date-parts":[["2013"]]},"page":"33-43","title":"Effective Pain Management and Improvements in Patients’ Outcomes and Satisfaction","type":"article-journal","volume":"35"},"uris":["http://www.mendeley.com/documents/?uuid=c8e2c165-3e44-4b9d-82c6-36a9135f948d"]}],"mendeley":{"formattedCitation":"(Diane Glowacki, 2013)","plainTextFormattedCitation":"(Diane Glowacki, 2013)","previouslyFormattedCitation":"(Diane Glowacki, 2013)"},"properties":{"noteIndex":0},"schema":"https://github.com/citation-style-language/schema/raw/master/csl-citation.json"}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sz w:val="24"/>
          <w:szCs w:val="24"/>
          <w:lang w:val="fr-FR"/>
        </w:rPr>
        <w:t>Diane Glowacki, 2013)</w:t>
      </w:r>
      <w:r>
        <w:rPr>
          <w:rFonts w:ascii="Times New Roman" w:hAnsi="Times New Roman" w:cs="Times New Roman"/>
          <w:bCs/>
          <w:sz w:val="24"/>
          <w:szCs w:val="24"/>
        </w:rPr>
        <w:fldChar w:fldCharType="end"/>
      </w:r>
      <w:r>
        <w:rPr>
          <w:rFonts w:ascii="Times New Roman" w:hAnsi="Times New Roman" w:cs="Times New Roman"/>
          <w:bCs/>
          <w:sz w:val="24"/>
          <w:szCs w:val="24"/>
          <w:lang w:val="fr-FR"/>
        </w:rPr>
        <w:t xml:space="preserve">.  </w:t>
      </w:r>
      <w:r>
        <w:rPr>
          <w:rFonts w:ascii="Times New Roman" w:hAnsi="Times New Roman" w:eastAsia="Times New Roman" w:cs="Times New Roman"/>
          <w:kern w:val="36"/>
          <w:sz w:val="24"/>
          <w:szCs w:val="24"/>
          <w:lang w:val="fr-FR"/>
        </w:rPr>
        <w:t xml:space="preserve">In addition, </w:t>
      </w:r>
      <w:r>
        <w:rPr>
          <w:rFonts w:ascii="Times New Roman" w:hAnsi="Times New Roman" w:eastAsia="Times New Roman" w:cs="Times New Roman"/>
          <w:bCs/>
          <w:kern w:val="36"/>
          <w:sz w:val="24"/>
          <w:szCs w:val="24"/>
        </w:rPr>
        <w:fldChar w:fldCharType="begin" w:fldLock="1"/>
      </w:r>
      <w:r>
        <w:rPr>
          <w:rFonts w:ascii="Times New Roman" w:hAnsi="Times New Roman" w:eastAsia="Times New Roman" w:cs="Times New Roman"/>
          <w:bCs/>
          <w:kern w:val="36"/>
          <w:sz w:val="24"/>
          <w:szCs w:val="24"/>
          <w:lang w:val="fr-FR"/>
        </w:rPr>
        <w:instrText xml:space="preserve">ADDIN CSL_CITATION {"citationItems":[{"id":"ITEM-1","itemData":{"DOI":"10.1016/j.pmn.2016.03.001","ISSN":"1524-9042","author":[{"dropping-particle":"","family":"Pasero","given":"Chris","non-dropping-particle":"","parse-names":false,"suffix":""},{"dropping-particle":"","family":"Quinlan-colwell","given":"Ann","non-dropping-particle":"","parse-names":false,"suffix":""},{"dropping-particle":"","family":"Rae","given":"Diana","non-dropping-particle":"","parse-names":false,"suffix":""},{"dropping-particle":"","family":"Broglio","given":"Kathleen","non-dropping-particle":"","parse-names":false,"suffix":""},{"dropping-particle":"","family":"Drew","given":"Debra","non-dropping-particle":"","parse-names":false,"suffix":""}],"container-title":"Pain Management Nursing","id":"ITEM-1","issue":"3","issued":{"date-parts":[["2016"]]},"page":"170-180","publisher":"American Society for Pain Management Nursing","title":"Position Statement American Society for Pain Management Nursing Position Statement : Prescribing and Administering Opioid Doses Based Solely on Pain Intensity","type":"article-journal","volume":"17"},"uris":["http://www.mendeley.com/documents/?uuid=f52e6e67-e73f-44c6-b06d-bfb1d7baaf82"]}],"mendeley":{"formattedCitation":"(Pasero et al., 2016)","manualFormatting":"Pasero et al. (2016)","plainTextFormattedCitation":"(Pasero et al., 2016)","previouslyFormattedCitation":"(Pasero et al., 2016)"},"properties":{"noteIndex":0},"schema":"https://github.com/citation-style-language/schema/raw/master/csl-citation.json"}</w:instrText>
      </w:r>
      <w:r>
        <w:rPr>
          <w:rFonts w:ascii="Times New Roman" w:hAnsi="Times New Roman" w:eastAsia="Times New Roman" w:cs="Times New Roman"/>
          <w:bCs/>
          <w:kern w:val="36"/>
          <w:sz w:val="24"/>
          <w:szCs w:val="24"/>
        </w:rPr>
        <w:fldChar w:fldCharType="separate"/>
      </w:r>
      <w:r>
        <w:rPr>
          <w:rFonts w:ascii="Times New Roman" w:hAnsi="Times New Roman" w:eastAsia="Times New Roman" w:cs="Times New Roman"/>
          <w:bCs/>
          <w:kern w:val="36"/>
          <w:sz w:val="24"/>
          <w:szCs w:val="24"/>
          <w:lang w:val="fr-FR"/>
        </w:rPr>
        <w:t>Pasero et al. 2016</w:t>
      </w:r>
      <w:r>
        <w:rPr>
          <w:rFonts w:ascii="Times New Roman" w:hAnsi="Times New Roman" w:eastAsia="Times New Roman" w:cs="Times New Roman"/>
          <w:bCs/>
          <w:kern w:val="36"/>
          <w:sz w:val="24"/>
          <w:szCs w:val="24"/>
        </w:rPr>
        <w:fldChar w:fldCharType="end"/>
      </w:r>
      <w:r>
        <w:rPr>
          <w:rFonts w:ascii="Times New Roman" w:hAnsi="Times New Roman" w:eastAsia="Times New Roman" w:cs="Times New Roman"/>
          <w:bCs/>
          <w:kern w:val="36"/>
          <w:sz w:val="24"/>
          <w:szCs w:val="24"/>
          <w:lang w:val="fr-FR"/>
        </w:rPr>
        <w:t xml:space="preserve">; </w:t>
      </w:r>
      <w:r>
        <w:rPr>
          <w:rFonts w:ascii="Times New Roman" w:hAnsi="Times New Roman" w:eastAsia="Times New Roman" w:cs="Times New Roman"/>
          <w:bCs/>
          <w:kern w:val="36"/>
          <w:sz w:val="24"/>
          <w:szCs w:val="24"/>
        </w:rPr>
        <w:fldChar w:fldCharType="begin" w:fldLock="1"/>
      </w:r>
      <w:r>
        <w:rPr>
          <w:rFonts w:ascii="Times New Roman" w:hAnsi="Times New Roman" w:eastAsia="Times New Roman" w:cs="Times New Roman"/>
          <w:bCs/>
          <w:kern w:val="36"/>
          <w:sz w:val="24"/>
          <w:szCs w:val="24"/>
          <w:lang w:val="fr-FR"/>
        </w:rPr>
        <w:instrText xml:space="preserve">ADDIN CSL_CITATION {"citationItems":[{"id":"ITEM-1","itemData":{"DOI":"10.1155/2019/9091467","ISSN":"2090-1429","abstract":" Background. Postoperative pain remains one of the greatest concerns for patients following surgical procedures. Nurses play an essential role in postoperative pain assessment and management, especially within the first few days after surgery. Objective. The study investigated how nurses in a resource-constraint hospital in Ghana assessed and managed postoperative pain. Methods. This was an explorative qualitative study involving 12 registered nurses practising in the largest referral hospital in Ghana. Data was gathered using a semistructured interview guide. Demographic characteristics of participants were summarized using descriptive statistics. Data were analysed using Kvale’s three phases for analysing qualitative data. First, the entire text was read again to identify meaning units which were then condensed. Second, the condensed texts were read again and interpreted. Finally, the condensed data containing similar meaning were coded and then sorted into subthemes. Results. It was found that some nurses have never used any pain assessment tool due to lack of standard tool for assessing postoperative pain. The majority o</w:instrText>
      </w:r>
      <w:r>
        <w:rPr>
          <w:rFonts w:ascii="Times New Roman" w:hAnsi="Times New Roman" w:eastAsia="Times New Roman" w:cs="Times New Roman"/>
          <w:bCs/>
          <w:kern w:val="36"/>
          <w:sz w:val="24"/>
          <w:szCs w:val="24"/>
        </w:rPr>
        <w:instrText xml:space="preserve">f nurses reported that managing pain by using medication was the norm especially in the first 24 hours after surgery. Conclusion. Although participants may have some knowledge of assessing and managing postoperative pain, this knowledge was not largely used to manage postoperative pain effectively, partly because of resource constraints. Therefore, there is the need for adequate training and with provision of resources, it is imperative that the use of standardized pain assessment scales could help in the proper assessment and management of postoperative pain in this setting. ","author":[{"dropping-particle":"","family":"Mahama","given":"Faisal","non-dropping-particle":"","parse-names":false,"suffix":""},{"dropping-particle":"","family":"Ninnoni","given":"Jerry P. K.","non-dropping-particle":"","parse-names":false,"suffix":""}],"container-title":"Nursing Research and Practice","id":"ITEM-1","issued":{"date-parts":[["2019"]]},"page":"1-7","title":"Assessment and Management of Postoperative Pain among Nurses at a Resource-Constraint Teaching Hospital in Ghana","type":"article-journal","volume":"2019"},"uris":["http://www.mendeley.com/documents/?uuid=913ba63c-f6cb-436f-815a-cfce17096014"]}],"mendeley":{"formattedCitation":"(Mahama &amp; Ninnoni, 2019)","plainTextFormattedCitation":"(Mahama &amp; Ninnoni, 2019)","previouslyFormattedCitation":"(Mahama &amp; Ninnoni, 2019)"},"properties":{"noteIndex":0},"schema":"https://github.com/citation-style-language/schema/raw/master/csl-citation.json"}</w:instrText>
      </w:r>
      <w:r>
        <w:rPr>
          <w:rFonts w:ascii="Times New Roman" w:hAnsi="Times New Roman" w:eastAsia="Times New Roman" w:cs="Times New Roman"/>
          <w:bCs/>
          <w:kern w:val="36"/>
          <w:sz w:val="24"/>
          <w:szCs w:val="24"/>
        </w:rPr>
        <w:fldChar w:fldCharType="separate"/>
      </w:r>
      <w:r>
        <w:rPr>
          <w:rFonts w:ascii="Times New Roman" w:hAnsi="Times New Roman" w:eastAsia="Times New Roman" w:cs="Times New Roman"/>
          <w:bCs/>
          <w:kern w:val="36"/>
          <w:sz w:val="24"/>
          <w:szCs w:val="24"/>
        </w:rPr>
        <w:t>Mahama &amp; Ninnoni, 2019)</w:t>
      </w:r>
      <w:r>
        <w:rPr>
          <w:rFonts w:ascii="Times New Roman" w:hAnsi="Times New Roman" w:eastAsia="Times New Roman" w:cs="Times New Roman"/>
          <w:bCs/>
          <w:kern w:val="36"/>
          <w:sz w:val="24"/>
          <w:szCs w:val="24"/>
        </w:rPr>
        <w:fldChar w:fldCharType="end"/>
      </w:r>
      <w:r>
        <w:rPr>
          <w:rFonts w:ascii="Times New Roman" w:hAnsi="Times New Roman" w:cs="Times New Roman"/>
          <w:sz w:val="24"/>
          <w:szCs w:val="24"/>
        </w:rPr>
        <w:t>, talked about the steps taken to provide the best pain assessment: verbalization, taking vital signs, and observing body language, emphasizing the patient's facial expression as one of the earliest signals of growing pain.</w:t>
      </w:r>
    </w:p>
    <w:p>
      <w:pPr>
        <w:shd w:val="clear" w:color="auto" w:fill="FFFFFF"/>
        <w:tabs>
          <w:tab w:val="left" w:pos="1800"/>
        </w:tabs>
        <w:spacing w:before="100" w:beforeAutospacing="1" w:after="100" w:afterAutospacing="1" w:line="480" w:lineRule="auto"/>
        <w:ind w:firstLine="720"/>
        <w:jc w:val="both"/>
        <w:outlineLvl w:val="0"/>
        <w:rPr>
          <w:rFonts w:ascii="Times New Roman" w:hAnsi="Times New Roman" w:cs="Times New Roman"/>
          <w:sz w:val="24"/>
          <w:szCs w:val="24"/>
          <w:shd w:val="clear" w:color="auto" w:fill="FFFFFF"/>
        </w:rPr>
      </w:pPr>
      <w:bookmarkStart w:id="56" w:name="_Toc104298403"/>
      <w:bookmarkStart w:id="57" w:name="_Toc104214631"/>
      <w:bookmarkStart w:id="58" w:name="_Toc120852208"/>
      <w:bookmarkStart w:id="59" w:name="_Toc104214858"/>
      <w:bookmarkStart w:id="60" w:name="_Toc142753393"/>
      <w:bookmarkStart w:id="61" w:name="_Toc134608272"/>
      <w:bookmarkStart w:id="62" w:name="_Toc134604140"/>
      <w:r>
        <w:rPr>
          <w:rFonts w:ascii="Times New Roman" w:hAnsi="Times New Roman" w:cs="Times New Roman"/>
          <w:sz w:val="24"/>
          <w:szCs w:val="24"/>
          <w:shd w:val="clear" w:color="auto" w:fill="FFFFFF"/>
        </w:rPr>
        <w:t>According to a study by Le-Wendling et al. (2018) and Yuceer (2011) pain is measured in a patient while they are at rest, while they are moving, when they are changing positions, and during physical therapy. As a result, after the self-report, the nurse must record the degree, quality, location, time, and duration, aggravating and mitigating factors, and their impact on the management of post-operative pain.</w:t>
      </w:r>
      <w:r>
        <w:rPr>
          <w:rFonts w:ascii="Times New Roman" w:hAnsi="Times New Roman" w:cs="Times New Roman"/>
          <w:sz w:val="24"/>
          <w:szCs w:val="24"/>
        </w:rPr>
        <w:t xml:space="preserve"> Additionally, the effectiveness of a particular treatment should be assessed by measuring pain both before and after each intervention (Yuceer (2011).</w:t>
      </w:r>
      <w:r>
        <w:rPr>
          <w:rFonts w:ascii="Times New Roman" w:hAnsi="Times New Roman" w:cs="Times New Roman"/>
          <w:sz w:val="24"/>
          <w:szCs w:val="24"/>
          <w:shd w:val="clear" w:color="auto" w:fill="FFFFFF"/>
        </w:rPr>
        <w:t xml:space="preserve"> </w:t>
      </w:r>
      <w:bookmarkEnd w:id="56"/>
      <w:bookmarkEnd w:id="57"/>
      <w:bookmarkEnd w:id="58"/>
      <w:bookmarkEnd w:id="59"/>
      <w:r>
        <w:rPr>
          <w:rFonts w:ascii="Times New Roman" w:hAnsi="Times New Roman" w:cs="Times New Roman"/>
          <w:sz w:val="24"/>
          <w:szCs w:val="24"/>
          <w:shd w:val="clear" w:color="auto" w:fill="FFFFFF"/>
        </w:rPr>
        <w:t>In order to decide on the most effective action to relieve post-operative pain, the nurse is therefore required to include pain levels into everyday practice.</w:t>
      </w:r>
      <w:bookmarkEnd w:id="60"/>
      <w:bookmarkEnd w:id="61"/>
      <w:bookmarkEnd w:id="62"/>
    </w:p>
    <w:p>
      <w:pPr>
        <w:autoSpaceDE w:val="0"/>
        <w:autoSpaceDN w:val="0"/>
        <w:adjustRightInd w:val="0"/>
        <w:spacing w:before="100" w:beforeAutospacing="1" w:after="100" w:afterAutospacing="1" w:line="480" w:lineRule="auto"/>
        <w:ind w:firstLine="720"/>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Priorities for change results from a study by Meissner et al. (2015) on post-operative acute pain management showed that poor post-operative acute pain management may result in serious medical complications like pneumonia and deep vein thrombosis, as well as progression to chronic pain and delayed discharge, especially after ambulatory surgery. In a 2014 study, 75% of participants experienced moderate to severe pain immediately after surgery, and 74% continued to feel this degree of pain after being discharged. Surveys indicate that patients' pain alleviation has slightly improved over the preceding 20 years.</w:t>
      </w:r>
    </w:p>
    <w:p>
      <w:pPr>
        <w:autoSpaceDE w:val="0"/>
        <w:autoSpaceDN w:val="0"/>
        <w:adjustRightInd w:val="0"/>
        <w:spacing w:before="100" w:beforeAutospacing="1" w:after="100" w:afterAutospacing="1" w:line="480" w:lineRule="auto"/>
        <w:ind w:firstLine="720"/>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After reviewing the state of post-operative pain management, this paper makes a number of suggestions for potential improvements that fall into four broad categories: patient-centered care, which involves greater patient involvement and shared decision-making; better training for doctors and other members of the multidisciplinary pain management team; and treatment optimization through the use of strategies like synergistic analgesia, patient-controlled analgesia, and, where appropriate, opioid substitution therapy. A substantial body of research backs up the execution of many of the measures as well as their potential advantages. A major barrier to their full potential is a lack of adequate financial resources.</w:t>
      </w:r>
    </w:p>
    <w:p>
      <w:pPr>
        <w:autoSpaceDE w:val="0"/>
        <w:autoSpaceDN w:val="0"/>
        <w:adjustRightInd w:val="0"/>
        <w:spacing w:before="100" w:beforeAutospacing="1" w:after="100" w:afterAutospacing="1" w:line="480" w:lineRule="auto"/>
        <w:ind w:firstLine="720"/>
        <w:jc w:val="both"/>
        <w:rPr>
          <w:rFonts w:ascii="Times New Roman" w:hAnsi="Times New Roman" w:cs="Times New Roman" w:eastAsiaTheme="minorEastAsia"/>
          <w:sz w:val="24"/>
          <w:szCs w:val="24"/>
        </w:rPr>
      </w:pPr>
      <w:r>
        <w:rPr>
          <w:rFonts w:ascii="Times New Roman" w:hAnsi="Times New Roman" w:cs="Times New Roman"/>
          <w:sz w:val="24"/>
          <w:szCs w:val="24"/>
        </w:rPr>
        <w:t>Out of 433 participants, it was discovered that 56.5% had sufficient knowledge about post-operative pain management.</w:t>
      </w:r>
      <w:r>
        <w:rPr>
          <w:rFonts w:ascii="Times New Roman" w:hAnsi="Times New Roman" w:cs="Times New Roman" w:eastAsiaTheme="minorEastAsia"/>
          <w:sz w:val="24"/>
          <w:szCs w:val="24"/>
        </w:rPr>
        <w:t xml:space="preserve"> </w:t>
      </w:r>
      <w:r>
        <w:rPr>
          <w:rFonts w:ascii="Times New Roman" w:hAnsi="Times New Roman" w:cs="Times New Roman"/>
          <w:sz w:val="24"/>
          <w:szCs w:val="24"/>
          <w:shd w:val="clear" w:color="auto" w:fill="FFFFFF"/>
        </w:rPr>
        <w:t xml:space="preserve">Most of the participants, 368 (93.16%) scored a mean of 5 and 12, whereas only 8 (2.03%) responses answered every question accurately. The statement "Pain is what the patient says it is" was one of the questions in the current study that received the most correct responses from respondents, with 331 (83.8%), while the statement "Pain assessment includes onset, duration, variability, location, and intensity of pain" received the most correct responses from respondents, 346 (87.6%), accounting for more than eighty seven percent of the total responses (87.6 %). </w:t>
      </w:r>
      <w:r>
        <w:rPr>
          <w:rFonts w:ascii="Times New Roman" w:hAnsi="Times New Roman" w:cs="Times New Roman"/>
          <w:bCs/>
          <w:sz w:val="24"/>
          <w:szCs w:val="24"/>
          <w:shd w:val="clear" w:color="auto" w:fill="FFFFFF"/>
        </w:rPr>
        <w:t>More than half of the nurses in the research area, according to Dessie et al. (2019), had sufficient understanding of post-operative pain treatment. Their understanding of post-operative pain management would therefore be impacted by regular in-service training on the use of the pain assessment scale.</w:t>
      </w:r>
    </w:p>
    <w:p>
      <w:pPr>
        <w:autoSpaceDE w:val="0"/>
        <w:autoSpaceDN w:val="0"/>
        <w:adjustRightInd w:val="0"/>
        <w:spacing w:before="100" w:beforeAutospacing="1" w:after="100" w:afterAutospacing="1" w:line="480" w:lineRule="auto"/>
        <w:ind w:firstLine="720"/>
        <w:jc w:val="both"/>
        <w:rPr>
          <w:rFonts w:ascii="Times New Roman" w:hAnsi="Times New Roman" w:cs="Times New Roman" w:eastAsiaTheme="minorEastAsia"/>
          <w:iCs/>
          <w:sz w:val="24"/>
          <w:szCs w:val="24"/>
        </w:rPr>
      </w:pPr>
      <w:r>
        <w:rPr>
          <w:rFonts w:ascii="Times New Roman" w:hAnsi="Times New Roman" w:cs="Times New Roman" w:eastAsiaTheme="minorEastAsia"/>
          <w:bCs/>
          <w:iCs/>
          <w:sz w:val="24"/>
          <w:szCs w:val="24"/>
        </w:rPr>
        <w:t>Salim, Tuffaha and Brant (2020) in the study, Pain</w:t>
      </w:r>
      <w:r>
        <w:rPr>
          <w:rFonts w:ascii="Times New Roman" w:hAnsi="Times New Roman" w:cs="Times New Roman" w:eastAsiaTheme="minorEastAsia"/>
          <w:iCs/>
          <w:sz w:val="24"/>
          <w:szCs w:val="24"/>
        </w:rPr>
        <w:t xml:space="preserve"> Monitoring Program for Nurses: Effects on Nurses' Pain Knowledge and Attitude, found that nurses have knowledge gaps and preconceived notions about pain and its treatment. The average Pain Knowledge score increased from 69.1 percent at the pretest to 75.8 percent at the post-test following nurses' education. Regarding their level of expertise and proficiency in treating pain, their readiness to regularly measure pain, and their attentiveness to patients' concerns about pain, nurses' views have changed. </w:t>
      </w:r>
      <w:r>
        <w:rPr>
          <w:rFonts w:ascii="Times New Roman" w:hAnsi="Times New Roman" w:cs="Times New Roman" w:eastAsiaTheme="minorEastAsia"/>
          <w:bCs/>
          <w:iCs/>
          <w:sz w:val="24"/>
          <w:szCs w:val="24"/>
        </w:rPr>
        <w:t>The pain monitoring program was shown to be successful in enhancing nurses' understanding of post-operative pain management and directing the nurses' attention to patients' pain complaints.</w:t>
      </w:r>
    </w:p>
    <w:p>
      <w:pPr>
        <w:spacing w:before="100" w:beforeAutospacing="1" w:after="100" w:afterAutospacing="1" w:line="480" w:lineRule="auto"/>
        <w:ind w:firstLine="720"/>
        <w:jc w:val="both"/>
        <w:rPr>
          <w:rFonts w:ascii="Times New Roman" w:hAnsi="Times New Roman" w:cs="Times New Roman"/>
          <w:sz w:val="24"/>
          <w:szCs w:val="24"/>
        </w:rPr>
      </w:pPr>
      <w:r>
        <w:rPr>
          <w:rFonts w:ascii="Times New Roman" w:hAnsi="Times New Roman" w:cs="Times New Roman"/>
          <w:bCs/>
          <w:sz w:val="24"/>
          <w:szCs w:val="24"/>
        </w:rPr>
        <w:t>It was discovered by Mahama and Ninnoni (2019) that verbalization, taking vital signs, and body language, to mention the patient's facial expression are some of the first indicators that a patient will experience in case of having post-operative pain. The study was an exploratory qualitative investigation to learn how nurses in a resource-constrained hospital, Ghana assessed and managed postoperative pain. Measures are taken to guarantee the best possible pain assessment along the same lines.</w:t>
      </w:r>
    </w:p>
    <w:p>
      <w:pPr>
        <w:spacing w:before="100" w:beforeAutospacing="1" w:after="100" w:afterAutospacing="1" w:line="480" w:lineRule="auto"/>
        <w:ind w:firstLine="720"/>
        <w:jc w:val="both"/>
        <w:rPr>
          <w:rFonts w:ascii="Times New Roman" w:hAnsi="Times New Roman" w:cs="Times New Roman" w:eastAsiaTheme="minorEastAsia"/>
          <w:bCs/>
          <w:sz w:val="24"/>
          <w:szCs w:val="24"/>
        </w:rPr>
      </w:pPr>
      <w:r>
        <w:rPr>
          <w:rFonts w:ascii="Times New Roman" w:hAnsi="Times New Roman" w:cs="Times New Roman"/>
          <w:sz w:val="24"/>
          <w:szCs w:val="24"/>
        </w:rPr>
        <w:t xml:space="preserve">On the view that pain is subjective, it’s always better to find a pain measurement scale that will work for you consistently and easily. </w:t>
      </w:r>
      <w:r>
        <w:rPr>
          <w:rFonts w:ascii="Times New Roman" w:hAnsi="Times New Roman" w:cs="Times New Roman"/>
          <w:sz w:val="24"/>
          <w:szCs w:val="24"/>
          <w:shd w:val="clear" w:color="auto" w:fill="FFFFFF"/>
        </w:rPr>
        <w:t>The most popular adult scales are the visual analog and numerical rating scales because of their simplicity and sensitivity to minute changes in pain.</w:t>
      </w:r>
      <w:r>
        <w:rPr>
          <w:rFonts w:ascii="Times New Roman" w:hAnsi="Times New Roman" w:cs="Times New Roman"/>
          <w:sz w:val="24"/>
          <w:szCs w:val="24"/>
        </w:rPr>
        <w:t xml:space="preserve"> </w:t>
      </w:r>
      <w:r>
        <w:rPr>
          <w:rFonts w:ascii="Times New Roman" w:hAnsi="Times New Roman" w:cs="Times New Roman" w:eastAsiaTheme="minorEastAsia"/>
          <w:sz w:val="24"/>
          <w:szCs w:val="24"/>
        </w:rPr>
        <w:t xml:space="preserve">The patients should be tasked to remember the worst pain they have ever experienced in their lives. The nurse requests the patient to relate current pain to the assessment scale by giving it a corresponding number on the scale </w:t>
      </w:r>
      <w:r>
        <w:rPr>
          <w:rFonts w:ascii="Times New Roman" w:hAnsi="Times New Roman" w:cs="Times New Roman" w:eastAsiaTheme="minorEastAsia"/>
          <w:bCs/>
          <w:sz w:val="24"/>
          <w:szCs w:val="24"/>
        </w:rPr>
        <w:fldChar w:fldCharType="begin" w:fldLock="1"/>
      </w:r>
      <w:r>
        <w:rPr>
          <w:rFonts w:ascii="Times New Roman" w:hAnsi="Times New Roman" w:cs="Times New Roman" w:eastAsiaTheme="minorEastAsia"/>
          <w:bCs/>
          <w:sz w:val="24"/>
          <w:szCs w:val="24"/>
        </w:rPr>
        <w:instrText xml:space="preserve">ADDIN CSL_CITATION {"citationItems":[{"id":"ITEM-1","itemData":{"author":[{"dropping-particle":"","family":"Atisook","given":"Raviwon","non-dropping-particle":"","parse-names":false,"suffix":""}],"id":"ITEM-1","issued":{"date-parts":[["2021"]]},"page":"1129-1139","title":"Validity and Utility of Four Pain Intensity Measures for Use in International Research","type":"article-journal"},"uris":["http://www.mendeley.com/documents/?uuid=4f9438d4-032f-4188-8d85-e5edcc6c9597"]}],"mendeley":{"formattedCitation":"(Atisook, 2021)","plainTextFormattedCitation":"(Atisook, 2021)","previouslyFormattedCitation":"(Atisook, 2021)"},"properties":{"noteIndex":0},"schema":"https://github.com/citation-style-language/schema/raw/master/csl-citation.json"}</w:instrText>
      </w:r>
      <w:r>
        <w:rPr>
          <w:rFonts w:ascii="Times New Roman" w:hAnsi="Times New Roman" w:cs="Times New Roman" w:eastAsiaTheme="minorEastAsia"/>
          <w:bCs/>
          <w:sz w:val="24"/>
          <w:szCs w:val="24"/>
        </w:rPr>
        <w:fldChar w:fldCharType="separate"/>
      </w:r>
      <w:r>
        <w:rPr>
          <w:rFonts w:ascii="Times New Roman" w:hAnsi="Times New Roman" w:cs="Times New Roman" w:eastAsiaTheme="minorEastAsia"/>
          <w:bCs/>
          <w:sz w:val="24"/>
          <w:szCs w:val="24"/>
        </w:rPr>
        <w:t>(Atisook, 2021)</w:t>
      </w:r>
      <w:r>
        <w:rPr>
          <w:rFonts w:ascii="Times New Roman" w:hAnsi="Times New Roman" w:cs="Times New Roman" w:eastAsiaTheme="minorEastAsia"/>
          <w:bCs/>
          <w:sz w:val="24"/>
          <w:szCs w:val="24"/>
        </w:rPr>
        <w:fldChar w:fldCharType="end"/>
      </w:r>
      <w:r>
        <w:rPr>
          <w:rFonts w:ascii="Times New Roman" w:hAnsi="Times New Roman" w:cs="Times New Roman" w:eastAsiaTheme="minorEastAsia"/>
          <w:bCs/>
          <w:sz w:val="24"/>
          <w:szCs w:val="24"/>
        </w:rPr>
        <w:t xml:space="preserve">. </w:t>
      </w:r>
    </w:p>
    <w:p>
      <w:pPr>
        <w:spacing w:before="100" w:beforeAutospacing="1" w:after="100" w:afterAutospacing="1" w:line="480" w:lineRule="auto"/>
        <w:ind w:firstLine="720"/>
        <w:jc w:val="both"/>
        <w:rPr>
          <w:rFonts w:ascii="Times New Roman" w:hAnsi="Times New Roman" w:cs="Times New Roman"/>
          <w:sz w:val="24"/>
          <w:szCs w:val="24"/>
        </w:rPr>
      </w:pPr>
      <w:r>
        <w:rPr>
          <w:rFonts w:ascii="Times New Roman" w:hAnsi="Times New Roman" w:cs="Times New Roman" w:eastAsiaTheme="minorEastAsia"/>
          <w:sz w:val="24"/>
          <w:szCs w:val="24"/>
        </w:rPr>
        <w:t xml:space="preserve">Consequently, the nurse will depend on the patients rating of pain intensity to administer the suitable pain killers </w:t>
      </w:r>
      <w:r>
        <w:rPr>
          <w:rFonts w:ascii="Times New Roman" w:hAnsi="Times New Roman" w:cs="Times New Roman" w:eastAsiaTheme="minorEastAsia"/>
          <w:bCs/>
          <w:sz w:val="24"/>
          <w:szCs w:val="24"/>
        </w:rPr>
        <w:fldChar w:fldCharType="begin" w:fldLock="1"/>
      </w:r>
      <w:r>
        <w:rPr>
          <w:rFonts w:ascii="Times New Roman" w:hAnsi="Times New Roman" w:cs="Times New Roman" w:eastAsiaTheme="minorEastAsia"/>
          <w:bCs/>
          <w:sz w:val="24"/>
          <w:szCs w:val="24"/>
        </w:rPr>
        <w:instrText xml:space="preserve">ADDIN CSL_CITATION {"citationItems":[{"id":"ITEM-1","itemData":{"DOI":"10.4314/thrb.v16i1.7","ISSN":"18216404","PMID":"26867272","abstract":"Inadequately controlled postoperative pain (POP) subjects individuals to complications which may be fatal or leading to prolonged hospital stay. Complications from inadequately controlled POP may alleviate the existing shortage of hospital human resource for health in health facilities in developing countries. The burden and challenges of POP management at health facilities in Tanzania is not known. This study was therefore carried out to evaluate postoperative pain management and patient satisfaction with care given at Kilimanjaro Christian Medical Centre (KCMC). This descriptive prospective hospital based study, was conducted at the Kilimanjaro Christian Medical Centre in Moshi, Tanzania from August 2011 to March 2012. POP and patients' satisfaction with pain relief scores were assessed using pain and satisfaction numerical rating scales. Pain assessment was done at 24 hours and 48 hours after operation. Satisfaction was assessed on 48 hours post surgery. All adult patient aged 18 years and above whom were operated in general surgery ward, KCMC and accepted by signing consent were involved in the study. Patients suffering from nervous system were excluded from the study. A total number of 124 patients were recruited and participated in the study. Sixty-five (52.4%) were males and 59 (47.6%) females. Mean age (SD) years 40.9 ± 15.4. The largest percentage of individuals had mild pain both at rest (45.2%) and during movement (44.4%). Patients whose analgesia was administered intravenously were more likely to be satisfied with POP management than those given intramuscular analgesics (P= 0.028). Analgesia used in combination increased significantly the proportion of pain free individuals 48 hours postoperative compared to 24 hours postoperative (P= 0.003). In conclusion, the postoperative pain management is still a challenge in our centre as nearly half of the patient had mild pain in the first 48 hours post surgery.","author":[{"dropping-particle":"","family":"Masigati","given":"Herbert G.","non-dropping-particle":"","parse-names":false,"suffix":""},{"dropping-particle":"","family":"Chilonga","given":"Kondo S.","non-dropping-particle":"","parse-names":false,"suffix":""}],"container-title":"Tanzania Journal of Health Research","id":"ITEM-1","issue":"1","issued":{"date-parts":[["2014"]]},"title":"Postoperative pain management outcomes among adults treated at a tertiary hospital in Moshi, Tanzania","type":"article-journal","volume":"16"},"uris":["http://www.mendeley.com/documents/?uuid=b7f7f79a-e874-4a8b-bae8-88a639bd37eb"]}],"mendeley":{"formattedCitation":"(Masigati &amp; Chilonga, 2014)","plainTextFormattedCitation":"(Masigati &amp; Chilonga, 2014)","previouslyFormattedCitation":"(Masigati &amp; Chilonga, 2014)"},"properties":{"noteIndex":0},"schema":"https://github.com/citation-style-language/schema/raw/master/csl-citation.json"}</w:instrText>
      </w:r>
      <w:r>
        <w:rPr>
          <w:rFonts w:ascii="Times New Roman" w:hAnsi="Times New Roman" w:cs="Times New Roman" w:eastAsiaTheme="minorEastAsia"/>
          <w:bCs/>
          <w:sz w:val="24"/>
          <w:szCs w:val="24"/>
        </w:rPr>
        <w:fldChar w:fldCharType="separate"/>
      </w:r>
      <w:r>
        <w:rPr>
          <w:rFonts w:ascii="Times New Roman" w:hAnsi="Times New Roman" w:cs="Times New Roman" w:eastAsiaTheme="minorEastAsia"/>
          <w:bCs/>
          <w:sz w:val="24"/>
          <w:szCs w:val="24"/>
        </w:rPr>
        <w:t>(Masigati &amp; Chilonga, 2014</w:t>
      </w:r>
      <w:r>
        <w:rPr>
          <w:rFonts w:ascii="Times New Roman" w:hAnsi="Times New Roman" w:cs="Times New Roman" w:eastAsiaTheme="minorEastAsia"/>
          <w:bCs/>
          <w:sz w:val="24"/>
          <w:szCs w:val="24"/>
        </w:rPr>
        <w:fldChar w:fldCharType="end"/>
      </w:r>
      <w:r>
        <w:rPr>
          <w:rFonts w:ascii="Times New Roman" w:hAnsi="Times New Roman" w:cs="Times New Roman" w:eastAsiaTheme="minorEastAsia"/>
          <w:bCs/>
          <w:sz w:val="24"/>
          <w:szCs w:val="24"/>
        </w:rPr>
        <w:t xml:space="preserve">; </w:t>
      </w:r>
      <w:r>
        <w:rPr>
          <w:rFonts w:ascii="Times New Roman" w:hAnsi="Times New Roman" w:cs="Times New Roman" w:eastAsiaTheme="minorEastAsia"/>
          <w:bCs/>
          <w:sz w:val="24"/>
          <w:szCs w:val="24"/>
        </w:rPr>
        <w:fldChar w:fldCharType="begin" w:fldLock="1"/>
      </w:r>
      <w:r>
        <w:rPr>
          <w:rFonts w:ascii="Times New Roman" w:hAnsi="Times New Roman" w:cs="Times New Roman" w:eastAsiaTheme="minorEastAsia"/>
          <w:bCs/>
          <w:sz w:val="24"/>
          <w:szCs w:val="24"/>
        </w:rPr>
        <w:instrText xml:space="preserve">ADDIN CSL_CITATION {"citationItems":[{"id":"ITEM-1","itemData":{"DOI":"10.5799/ahinjs.01.2011.04.0100","ISSN":"1309-8578","author":[{"dropping-particle":"","family":"Yüceer","given":"Sevilay","non-dropping-particle":"","parse-names":false,"suffix":""}],"container-title":"Journal of Clinical and Experimental Investigations","id":"ITEM-1","issue":"4","issued":{"date-parts":[["2011"]]},"page":"474-478","title":"Nursing approaches in the postoperative pain management","type":"article-journal","volume":"2"},"uris":["http://www.mendeley.com/documents/?uuid=e1241b6d-35a2-403a-bac3-2278a8c76495"]}],"mendeley":{"formattedCitation":"(Yüceer, 2011)","plainTextFormattedCitation":"(Yüceer, 2011)","previouslyFormattedCitation":"(Yüceer, 2011)"},"properties":{"noteIndex":0},"schema":"https://github.com/citation-style-language/schema/raw/master/csl-citation.json"}</w:instrText>
      </w:r>
      <w:r>
        <w:rPr>
          <w:rFonts w:ascii="Times New Roman" w:hAnsi="Times New Roman" w:cs="Times New Roman" w:eastAsiaTheme="minorEastAsia"/>
          <w:bCs/>
          <w:sz w:val="24"/>
          <w:szCs w:val="24"/>
        </w:rPr>
        <w:fldChar w:fldCharType="separate"/>
      </w:r>
      <w:r>
        <w:rPr>
          <w:rFonts w:ascii="Times New Roman" w:hAnsi="Times New Roman" w:cs="Times New Roman" w:eastAsiaTheme="minorEastAsia"/>
          <w:bCs/>
          <w:sz w:val="24"/>
          <w:szCs w:val="24"/>
        </w:rPr>
        <w:t>Yüceer, 2011)</w:t>
      </w:r>
      <w:r>
        <w:rPr>
          <w:rFonts w:ascii="Times New Roman" w:hAnsi="Times New Roman" w:cs="Times New Roman" w:eastAsiaTheme="minorEastAsia"/>
          <w:bCs/>
          <w:sz w:val="24"/>
          <w:szCs w:val="24"/>
        </w:rPr>
        <w:fldChar w:fldCharType="end"/>
      </w:r>
      <w:r>
        <w:rPr>
          <w:rFonts w:ascii="Times New Roman" w:hAnsi="Times New Roman" w:cs="Times New Roman" w:eastAsiaTheme="minorEastAsia"/>
          <w:bCs/>
          <w:sz w:val="24"/>
          <w:szCs w:val="24"/>
        </w:rPr>
        <w:t>.</w:t>
      </w:r>
      <w:r>
        <w:rPr>
          <w:rFonts w:ascii="Times New Roman" w:hAnsi="Times New Roman" w:cs="Times New Roman"/>
          <w:sz w:val="24"/>
          <w:szCs w:val="24"/>
          <w:shd w:val="clear" w:color="auto" w:fill="FFFFFF"/>
        </w:rPr>
        <w:t xml:space="preserve"> Pain is measured while a patient is at rest, while moving, when changing positions, or during physical therapy </w:t>
      </w:r>
      <w:r>
        <w:rPr>
          <w:rFonts w:ascii="Times New Roman" w:hAnsi="Times New Roman" w:cs="Times New Roman"/>
          <w:bCs/>
          <w:sz w:val="24"/>
          <w:szCs w:val="24"/>
          <w:shd w:val="clear" w:color="auto" w:fill="FFFFFF"/>
        </w:rPr>
        <w:fldChar w:fldCharType="begin" w:fldLock="1"/>
      </w:r>
      <w:r>
        <w:rPr>
          <w:rFonts w:ascii="Times New Roman" w:hAnsi="Times New Roman" w:cs="Times New Roman"/>
          <w:bCs/>
          <w:sz w:val="24"/>
          <w:szCs w:val="24"/>
          <w:shd w:val="clear" w:color="auto" w:fill="FFFFFF"/>
        </w:rPr>
        <w:instrText xml:space="preserve">ADDIN CSL_CITATION {"citationItems":[{"id":"ITEM-1","itemData":{"DOI":"10.1097/BTO.0000000000000245.Goals","ISBN":"0000000000000","author":[{"dropping-particle":"","family":"Le-wendling","given":"Linda","non-dropping-particle":"","parse-names":false,"suffix":""},{"dropping-particle":"","family":"Medicine","given":"Perioperative Pain","non-dropping-particle":"","parse-names":false,"suffix":""},{"dropping-particle":"","family":"Glick","given":"Wesley","non-dropping-particle":"","parse-names":false,"suffix":""},{"dropping-particle":"","family":"Medicine","given":"Perioperative Pain","non-dropping-particle":"","parse-names":false,"suffix":""},{"dropping-particle":"","family":"Pain","given":"Perioperative","non-dropping-particle":"","parse-names":false,"suffix":""},{"dropping-particle":"","family":"Tighe","given":"Patrick","non-dropping-particle":"","parse-names":false,"suffix":""},{"dropping-particle":"","family":"Medicine","given":"Perioperative Pain","non-dropping-particle":"","parse-names":false,"suffix":""}],"id":"ITEM-1","issue":"4","issued":{"date-parts":[["2018"]]},"page":"200-208","title":"HHS Public Access","type":"article-journal","volume":"32"},"uris":["http://www.mendeley.com/documents/?uuid=142fc6a0-389d-460a-9419-3b880c0d433a"]}],"mendeley":{"formattedCitation":"(Le-wendling et al., 2018)","plainTextFormattedCitation":"(Le-wendling et al., 2018)","previouslyFormattedCitation":"(Le-wendling et al., 2018)"},"properties":{"noteIndex":0},"schema":"https://github.com/citation-style-language/schema/raw/master/csl-citation.json"}</w:instrText>
      </w:r>
      <w:r>
        <w:rPr>
          <w:rFonts w:ascii="Times New Roman" w:hAnsi="Times New Roman" w:cs="Times New Roman"/>
          <w:bCs/>
          <w:sz w:val="24"/>
          <w:szCs w:val="24"/>
          <w:shd w:val="clear" w:color="auto" w:fill="FFFFFF"/>
        </w:rPr>
        <w:fldChar w:fldCharType="separate"/>
      </w:r>
      <w:r>
        <w:rPr>
          <w:rFonts w:ascii="Times New Roman" w:hAnsi="Times New Roman" w:cs="Times New Roman"/>
          <w:bCs/>
          <w:sz w:val="24"/>
          <w:szCs w:val="24"/>
          <w:shd w:val="clear" w:color="auto" w:fill="FFFFFF"/>
        </w:rPr>
        <w:t>(Le-wendling et al., 2018</w:t>
      </w:r>
      <w:r>
        <w:rPr>
          <w:rFonts w:ascii="Times New Roman" w:hAnsi="Times New Roman" w:cs="Times New Roman"/>
          <w:bCs/>
          <w:sz w:val="24"/>
          <w:szCs w:val="24"/>
          <w:shd w:val="clear" w:color="auto" w:fill="FFFFFF"/>
        </w:rPr>
        <w:fldChar w:fldCharType="end"/>
      </w:r>
      <w:r>
        <w:rPr>
          <w:rFonts w:ascii="Times New Roman" w:hAnsi="Times New Roman" w:cs="Times New Roman" w:eastAsiaTheme="minorEastAsia"/>
          <w:bCs/>
          <w:sz w:val="24"/>
          <w:szCs w:val="24"/>
          <w:shd w:val="clear" w:color="auto" w:fill="FFFFFF"/>
        </w:rPr>
        <w:t xml:space="preserve">; </w:t>
      </w:r>
      <w:r>
        <w:rPr>
          <w:rFonts w:ascii="Times New Roman" w:hAnsi="Times New Roman" w:cs="Times New Roman" w:eastAsiaTheme="minorEastAsia"/>
          <w:bCs/>
          <w:sz w:val="24"/>
          <w:szCs w:val="24"/>
          <w:shd w:val="clear" w:color="auto" w:fill="FFFFFF"/>
        </w:rPr>
        <w:fldChar w:fldCharType="begin" w:fldLock="1"/>
      </w:r>
      <w:r>
        <w:rPr>
          <w:rFonts w:ascii="Times New Roman" w:hAnsi="Times New Roman" w:cs="Times New Roman" w:eastAsiaTheme="minorEastAsia"/>
          <w:bCs/>
          <w:sz w:val="24"/>
          <w:szCs w:val="24"/>
          <w:shd w:val="clear" w:color="auto" w:fill="FFFFFF"/>
        </w:rPr>
        <w:instrText xml:space="preserve">ADDIN CSL_CITATION {"citationItems":[{"id":"ITEM-1","itemData":{"DOI":"10.4314/thrb.v16i1.7","ISSN":"18216404","PMID":"26867272","abstract":"Inadequately controlled postoperative pain (POP) subjects individuals to complications which may be fatal or leading to prolonged hospital stay. Complications from inadequately controlled POP may alleviate the existing shortage of hospital human resource for health in health facilities in developing countries. The burden and challenges of POP management at health facilities in Tanzania is not known. This study was therefore carried out to evaluate postoperative pain management and patient satisfaction with care given at Kilimanjaro Christian Medical Centre (KCMC). This descriptive prospective hospital based study, was conducted at the Kilimanjaro Christian Medical Centre in Moshi, Tanzania from August 2011 to March 2012. POP and patients' satisfaction with pain relief scores were assessed using pain and satisfaction numerical rating scales. Pain assessment was done at 24 hours and 48 hours after operation. Satisfaction was assessed on 48 hours post surgery. All adult patient aged 18 years and above whom were operated in general surgery ward, KCMC and accepted by signing consent were involved in the study. Patients suffering from nervous system were excluded from the study. A total number of 124 patients were recruited and participated in the study. Sixty-five (52.4%) were males and 59 (47.6%) females. Mean age (SD) years 40.9 ± 15.4. The largest percentage of individuals had mild pain both at rest (45.2%) and during movement (44.4%). Patients whose analgesia was administered intravenously were more likely to be satisfied with POP management than those given intramuscular analgesics (P= 0.028). Analgesia used in combination increased significantly the proportion of pain free individuals 48 hours postoperative compared to 24 hours postoperative (P= 0.003). In conclusion, the postoperative pain management is still a challenge in our centre as nearly half of the patient had mild pain in the first 48 hours post surgery.","author":[{"dropping-particle":"","family":"Masigati","given":"Herbert G.","non-dropping-particle":"","parse-names":false,"suffix":""},{"dropping-particle":"","family":"Chilonga","given":"Kondo S.","non-dropping-particle":"","parse-names":false,"suffix":""}],"container-title":"Tanzania Journal of Health Research","id":"ITEM-1","issue":"1","issued":{"date-parts":[["2014"]]},"title":"Postoperative pain management outcomes among adults treated at a tertiary hospital in Moshi, Tanzania","type":"article-journal","volume":"16"},"uris":["http://www.mendeley.com/documents/?uuid=b7f7f79a-e874-4a8b-bae8-88a639bd37eb"]}],"mendeley":{"formattedCitation":"(Masigati &amp; Chilonga, 2014)","plainTextFormattedCitation":"(Masigati &amp; Chilonga, 2014)","previouslyFormattedCitation":"(Masigati &amp; Chilonga, 2014)"},"properties":{"noteIndex":0},"schema":"https://github.com/citation-style-language/schema/raw/master/csl-citation.json"}</w:instrText>
      </w:r>
      <w:r>
        <w:rPr>
          <w:rFonts w:ascii="Times New Roman" w:hAnsi="Times New Roman" w:cs="Times New Roman" w:eastAsiaTheme="minorEastAsia"/>
          <w:bCs/>
          <w:sz w:val="24"/>
          <w:szCs w:val="24"/>
          <w:shd w:val="clear" w:color="auto" w:fill="FFFFFF"/>
        </w:rPr>
        <w:fldChar w:fldCharType="separate"/>
      </w:r>
      <w:r>
        <w:rPr>
          <w:rFonts w:ascii="Times New Roman" w:hAnsi="Times New Roman" w:cs="Times New Roman" w:eastAsiaTheme="minorEastAsia"/>
          <w:bCs/>
          <w:sz w:val="24"/>
          <w:szCs w:val="24"/>
          <w:shd w:val="clear" w:color="auto" w:fill="FFFFFF"/>
        </w:rPr>
        <w:t>Masigati &amp; Chilonga, 2014</w:t>
      </w:r>
      <w:r>
        <w:rPr>
          <w:rFonts w:ascii="Times New Roman" w:hAnsi="Times New Roman" w:cs="Times New Roman" w:eastAsiaTheme="minorEastAsia"/>
          <w:bCs/>
          <w:sz w:val="24"/>
          <w:szCs w:val="24"/>
          <w:shd w:val="clear" w:color="auto" w:fill="FFFFFF"/>
        </w:rPr>
        <w:fldChar w:fldCharType="end"/>
      </w:r>
      <w:r>
        <w:rPr>
          <w:rFonts w:ascii="Times New Roman" w:hAnsi="Times New Roman" w:cs="Times New Roman" w:eastAsiaTheme="minorEastAsia"/>
          <w:bCs/>
          <w:sz w:val="24"/>
          <w:szCs w:val="24"/>
        </w:rPr>
        <w:t xml:space="preserve">; &amp; </w:t>
      </w:r>
      <w:r>
        <w:rPr>
          <w:rFonts w:ascii="Times New Roman" w:hAnsi="Times New Roman" w:cs="Times New Roman" w:eastAsiaTheme="minorEastAsia"/>
          <w:bCs/>
          <w:sz w:val="24"/>
          <w:szCs w:val="24"/>
        </w:rPr>
        <w:fldChar w:fldCharType="begin" w:fldLock="1"/>
      </w:r>
      <w:r>
        <w:rPr>
          <w:rFonts w:ascii="Times New Roman" w:hAnsi="Times New Roman" w:cs="Times New Roman" w:eastAsiaTheme="minorEastAsia"/>
          <w:bCs/>
          <w:sz w:val="24"/>
          <w:szCs w:val="24"/>
        </w:rPr>
        <w:instrText xml:space="preserve">ADDIN CSL_CITATION {"citationItems":[{"id":"ITEM-1","itemData":{"DOI":"10.5799/ahinjs.01.2011.04.0100","ISSN":"1309-8578","author":[{"dropping-particle":"","family":"Yüceer","given":"Sevilay","non-dropping-particle":"","parse-names":false,"suffix":""}],"container-title":"Journal of Clinical and Experimental Investigations","id":"ITEM-1","issue":"4","issued":{"date-parts":[["2011"]]},"page":"474-478","title":"Nursing approaches in the postoperative pain management","type":"article-journal","volume":"2"},"uris":["http://www.mendeley.com/documents/?uuid=e1241b6d-35a2-403a-bac3-2278a8c76495"]}],"mendeley":{"formattedCitation":"(Yüceer, 2011)","plainTextFormattedCitation":"(Yüceer, 2011)","previouslyFormattedCitation":"(Yüceer, 2011)"},"properties":{"noteIndex":0},"schema":"https://github.com/citation-style-language/schema/raw/master/csl-citation.json"}</w:instrText>
      </w:r>
      <w:r>
        <w:rPr>
          <w:rFonts w:ascii="Times New Roman" w:hAnsi="Times New Roman" w:cs="Times New Roman" w:eastAsiaTheme="minorEastAsia"/>
          <w:bCs/>
          <w:sz w:val="24"/>
          <w:szCs w:val="24"/>
        </w:rPr>
        <w:fldChar w:fldCharType="separate"/>
      </w:r>
      <w:r>
        <w:rPr>
          <w:rFonts w:ascii="Times New Roman" w:hAnsi="Times New Roman" w:cs="Times New Roman" w:eastAsiaTheme="minorEastAsia"/>
          <w:bCs/>
          <w:sz w:val="24"/>
          <w:szCs w:val="24"/>
        </w:rPr>
        <w:t>Yüceer, 2011)</w:t>
      </w:r>
      <w:r>
        <w:rPr>
          <w:rFonts w:ascii="Times New Roman" w:hAnsi="Times New Roman" w:cs="Times New Roman" w:eastAsiaTheme="minorEastAsia"/>
          <w:bCs/>
          <w:sz w:val="24"/>
          <w:szCs w:val="24"/>
        </w:rPr>
        <w:fldChar w:fldCharType="end"/>
      </w:r>
      <w:r>
        <w:rPr>
          <w:rFonts w:ascii="Times New Roman" w:hAnsi="Times New Roman" w:cs="Times New Roman" w:eastAsiaTheme="minorEastAsia"/>
          <w:bCs/>
          <w:sz w:val="24"/>
          <w:szCs w:val="24"/>
        </w:rPr>
        <w:t>.</w:t>
      </w:r>
      <w:r>
        <w:rPr>
          <w:rFonts w:ascii="Times New Roman" w:hAnsi="Times New Roman" w:cs="Times New Roman" w:eastAsiaTheme="minorEastAsia"/>
          <w:sz w:val="24"/>
          <w:szCs w:val="24"/>
        </w:rPr>
        <w:t xml:space="preserve"> </w:t>
      </w:r>
      <w:r>
        <w:rPr>
          <w:rFonts w:ascii="Times New Roman" w:hAnsi="Times New Roman" w:cs="Times New Roman"/>
          <w:sz w:val="24"/>
          <w:szCs w:val="24"/>
          <w:shd w:val="clear" w:color="auto" w:fill="FFFFFF"/>
        </w:rPr>
        <w:t>In conclusion, a critical aspect of managing post-operative pain is pain evaluation. So, in order to choose the best intervention to treat post-operative pain, the nurse must consider measuring the patient's level of discomfort.</w:t>
      </w:r>
    </w:p>
    <w:p>
      <w:pPr>
        <w:spacing w:before="100" w:beforeAutospacing="1" w:after="100" w:afterAutospacing="1" w:line="480" w:lineRule="auto"/>
        <w:ind w:firstLine="720"/>
        <w:jc w:val="both"/>
        <w:rPr>
          <w:rFonts w:ascii="Times New Roman" w:hAnsi="Times New Roman" w:cs="Times New Roman"/>
          <w:color w:val="FF0000"/>
          <w:sz w:val="24"/>
          <w:szCs w:val="24"/>
        </w:rPr>
      </w:pPr>
      <w:r>
        <w:rPr>
          <w:rFonts w:ascii="Times New Roman" w:hAnsi="Times New Roman" w:cs="Times New Roman"/>
          <w:sz w:val="24"/>
          <w:szCs w:val="24"/>
        </w:rPr>
        <w:t>According to Yuceer (2011) in the Journal of Clinical and Experimental Investigations, patients who have trouble talking, such as those who are cognitively deficient, should receive extra consideration when it comes to post-operative pain assessment. In addition to pain assessment, nurses are advised to base on the vital observations as they can be affected by severe pain thus causing hypotension, tachy</w:t>
      </w:r>
      <w:r>
        <w:rPr>
          <w:rFonts w:ascii="Times New Roman" w:hAnsi="Times New Roman" w:cs="Times New Roman"/>
          <w:sz w:val="24"/>
          <w:szCs w:val="24"/>
        </w:rPr>
        <w:softHyphen/>
      </w:r>
      <w:r>
        <w:rPr>
          <w:rFonts w:ascii="Times New Roman" w:hAnsi="Times New Roman" w:cs="Times New Roman"/>
          <w:sz w:val="24"/>
          <w:szCs w:val="24"/>
        </w:rPr>
        <w:t>cardia, or fever which can be immediately evaluated. Effective post-operative pain evaluation aids the nurse in assessing the efficacy of nursing interventions and pain management techniques (Yuceer, 2011).</w:t>
      </w:r>
    </w:p>
    <w:p>
      <w:pPr>
        <w:spacing w:before="100" w:beforeAutospacing="1" w:after="100" w:afterAutospacing="1" w:line="480" w:lineRule="auto"/>
        <w:ind w:firstLine="720"/>
        <w:jc w:val="both"/>
        <w:rPr>
          <w:rFonts w:ascii="Times New Roman" w:hAnsi="Times New Roman" w:cs="Times New Roman" w:eastAsiaTheme="minorEastAsia"/>
          <w:sz w:val="24"/>
          <w:szCs w:val="24"/>
        </w:rPr>
      </w:pPr>
      <w:r>
        <w:rPr>
          <w:rFonts w:ascii="Times New Roman" w:hAnsi="Times New Roman" w:cs="Times New Roman"/>
          <w:sz w:val="24"/>
          <w:szCs w:val="24"/>
        </w:rPr>
        <w:t>In light of this, Faithfull-Bryne theory of clinical coaching in nursing and midwifery will aid me in implementing / integrating the pain assessment scale in post-operative pain treatment. Client satisfaction will result from a good post-operative pain assessment because it will help in selecting the most effective pain management strategy. Instead of just going through the motions, this will be selected after a pain intensity assessment.</w:t>
      </w:r>
    </w:p>
    <w:p>
      <w:pPr>
        <w:spacing w:before="100" w:beforeAutospacing="1" w:after="100" w:afterAutospacing="1" w:line="480" w:lineRule="auto"/>
        <w:ind w:firstLine="720"/>
        <w:jc w:val="both"/>
        <w:rPr>
          <w:rFonts w:ascii="Times New Roman" w:hAnsi="Times New Roman" w:cs="Times New Roman" w:eastAsiaTheme="minorEastAsia"/>
          <w:sz w:val="24"/>
          <w:szCs w:val="24"/>
        </w:rPr>
      </w:pPr>
      <w:r>
        <w:rPr>
          <w:rFonts w:ascii="Times New Roman" w:hAnsi="Times New Roman" w:eastAsia="Times New Roman" w:cs="Times New Roman"/>
          <w:sz w:val="24"/>
          <w:szCs w:val="24"/>
        </w:rPr>
        <w:t xml:space="preserve">In conclusion proper assessment of pain acts as a guide in choosing which measures to take as far as post-operative pain management is concerned. </w:t>
      </w:r>
      <w:r>
        <w:rPr>
          <w:rFonts w:ascii="Times New Roman" w:hAnsi="Times New Roman" w:cs="Times New Roman"/>
          <w:sz w:val="24"/>
          <w:szCs w:val="24"/>
        </w:rPr>
        <w:t>I'm going to demonstrate how to utilize a pain assessment scale to the nurses on the surgical wards so they can gauge how much pain the post-operative patients are experiencing. This will increase the nurses' knowledge of post-operative pain treatment, improving post-operative pain management quality of life.</w:t>
      </w:r>
    </w:p>
    <w:p>
      <w:pPr>
        <w:pStyle w:val="3"/>
        <w:rPr>
          <w:rFonts w:ascii="Times New Roman" w:hAnsi="Times New Roman" w:cs="Times New Roman"/>
          <w:b w:val="0"/>
          <w:sz w:val="24"/>
          <w:szCs w:val="24"/>
        </w:rPr>
      </w:pPr>
      <w:bookmarkStart w:id="63" w:name="_Toc134604141"/>
      <w:bookmarkStart w:id="64" w:name="_Toc142753394"/>
      <w:r>
        <w:rPr>
          <w:rFonts w:ascii="Times New Roman" w:hAnsi="Times New Roman" w:cs="Times New Roman"/>
          <w:sz w:val="24"/>
          <w:szCs w:val="24"/>
        </w:rPr>
        <w:t>Nurses’ attitude towards post-operative pain management.</w:t>
      </w:r>
      <w:bookmarkEnd w:id="63"/>
      <w:bookmarkEnd w:id="64"/>
      <w:r>
        <w:rPr>
          <w:rFonts w:ascii="Times New Roman" w:hAnsi="Times New Roman" w:cs="Times New Roman"/>
          <w:sz w:val="24"/>
          <w:szCs w:val="24"/>
        </w:rPr>
        <w:t xml:space="preserve"> </w:t>
      </w:r>
    </w:p>
    <w:p>
      <w:pPr>
        <w:spacing w:before="100" w:beforeAutospacing="1" w:after="100" w:afterAutospacing="1" w:line="480" w:lineRule="auto"/>
        <w:ind w:firstLine="720"/>
        <w:jc w:val="both"/>
        <w:rPr>
          <w:rFonts w:ascii="Times New Roman" w:hAnsi="Times New Roman" w:cs="Times New Roman"/>
          <w:bCs/>
          <w:sz w:val="24"/>
          <w:szCs w:val="24"/>
          <w:shd w:val="clear" w:color="auto" w:fill="FFFFFF"/>
        </w:rPr>
      </w:pPr>
      <w:r>
        <w:rPr>
          <w:rFonts w:ascii="Times New Roman" w:hAnsi="Times New Roman" w:cs="Times New Roman"/>
          <w:sz w:val="24"/>
          <w:szCs w:val="24"/>
          <w:shd w:val="clear" w:color="auto" w:fill="FFFFFF"/>
        </w:rPr>
        <w:t>Accurate knowledge, a positive attitude, and proficient evaluation abilities in action are necessary for effective pain management. In this study, a nurse's attitude is described as their thoughts and feelings concerning postoperative pain control, which can be either good or negative.</w:t>
      </w:r>
      <w:r>
        <w:rPr>
          <w:rFonts w:ascii="Times New Roman" w:hAnsi="Times New Roman" w:cs="Times New Roman"/>
          <w:sz w:val="24"/>
          <w:szCs w:val="24"/>
        </w:rPr>
        <w:t xml:space="preserve"> Based on sound training, the nurses must have a positive outlook when providing post-operative pain treatment. One of the obstacles to successful post-operative pain management has been recognized as having a poor attitude</w:t>
      </w:r>
      <w:r>
        <w:rPr>
          <w:rFonts w:ascii="Times New Roman" w:hAnsi="Times New Roman" w:cs="Times New Roman"/>
          <w:bCs/>
          <w:sz w:val="24"/>
          <w:szCs w:val="24"/>
          <w:shd w:val="clear" w:color="auto" w:fill="FFFFFF"/>
        </w:rPr>
        <w:fldChar w:fldCharType="begin" w:fldLock="1"/>
      </w:r>
      <w:r>
        <w:rPr>
          <w:rFonts w:ascii="Times New Roman" w:hAnsi="Times New Roman" w:cs="Times New Roman"/>
          <w:bCs/>
          <w:sz w:val="24"/>
          <w:szCs w:val="24"/>
          <w:shd w:val="clear" w:color="auto" w:fill="FFFFFF"/>
        </w:rPr>
        <w:instrText xml:space="preserve">ADDIN CSL_CITATION {"citationItems":[{"id":"ITEM-1","itemData":{"DOI":"10.2139/ssrn.3693030","abstract":"Introduction: Effective management of postoperative pain can lead to comfort, better mobility, improved recovery and a short stay in the hospital while untreated pain has harmful impacts on the patients as hopelessness, hinder their response to treatment, and negatively affect their quality of life. Inadequate knowledge and undesirable attitudes toward postoperative pain management were reported as one of the major difficulties to implement effective pain management among nurses. Objective: The main purpose of this study was to assess the knowledge and attitudes of nurses towards postoperative pain management working at Hawassa University comprehensive specialized hospital. Methods: Institution based cross-sectional study was conducted among two hundred three nurses working at the surgical, gynecology, obstetric wards, ophthalmic unit and operation theater from April 1-30, 2019. Data were collected through standardized worldwide accepted \"Knowledge and Attitudes Survey Regarding Pain\" (KASRP) tool it contains 37 items questionnaire of two domains: knowledge and attitude towards pain management. The collected data was analyzed using SPSS version 20. A chi-square test was done and significantly associated factors were identified. Result: One hundred and eighty-seven questionnaires were returned giving a response rate (92.1%). The mean score of correct answers was (22.5%) with a minimum and maximum score of (18.2%) and (75.4%) respectively. After categorizing the level of knowledge and attitude, (82.2 %) of nurses possessed very low knowledge and negative attitude towards postoperative pain management. Prior training on pain management (χ² = 14.935, P=0.001) and reading of medical books or journals about pain (χ² = 5.019, P=0.025) were significantly associated with knowledge and attitude of nurses towards post-operative pain management. Conclusion: Nurses had a very low level of knowledge and a negative attitude towards post-operative pain management. The hospital provides in-service training and avail reading medical books to improve nurse's knowledge and attitude towards post-operative pain management. The federal ministry of Health of Ethiopia enriches the pain content of the nursing curriculum. [ABSTRACT FROM AUTHOR]","author":[{"dropping-particle":"","family":"Jemebere","given":"Wegene","non-dropping-particle":"","parse-names":false,"suffix":""}],"container-title":"SSRN Electronic Journal","id":"ITEM-1","issue":"September","issued":{"date-parts":[["2020"]]},"title":"Knowledge and Attitudes of Nurses towards Postoperative Pain Management in Southern Ethiopia","type":"article-journal"},"uris":["http://www.mendeley.com/documents/?uuid=977a5695-8bf4-461f-8c17-9353e9654613"]}],"mendeley":{"formattedCitation":"(Jemebere, 2020)","manualFormatting":"(Jemebere, Bekele, Tsegaye, &amp; Yohannis, 2020)","plainTextFormattedCitation":"(Jemebere, 2020)","previouslyFormattedCitation":"(Jemebere, 2020)"},"properties":{"noteIndex":0},"schema":"https://github.com/citation-style-language/schema/raw/master/csl-citation.json"}</w:instrText>
      </w:r>
      <w:r>
        <w:rPr>
          <w:rFonts w:ascii="Times New Roman" w:hAnsi="Times New Roman" w:cs="Times New Roman"/>
          <w:bCs/>
          <w:sz w:val="24"/>
          <w:szCs w:val="24"/>
          <w:shd w:val="clear" w:color="auto" w:fill="FFFFFF"/>
        </w:rPr>
        <w:fldChar w:fldCharType="separate"/>
      </w:r>
      <w:r>
        <w:rPr>
          <w:rFonts w:ascii="Times New Roman" w:hAnsi="Times New Roman" w:cs="Times New Roman"/>
          <w:bCs/>
          <w:sz w:val="24"/>
          <w:szCs w:val="24"/>
          <w:shd w:val="clear" w:color="auto" w:fill="FFFFFF"/>
        </w:rPr>
        <w:t>(Jemebere, Bekele, Tsegaye, &amp; Yohannis, 2020)</w:t>
      </w:r>
      <w:r>
        <w:rPr>
          <w:rFonts w:ascii="Times New Roman" w:hAnsi="Times New Roman" w:cs="Times New Roman"/>
          <w:bCs/>
          <w:sz w:val="24"/>
          <w:szCs w:val="24"/>
          <w:shd w:val="clear" w:color="auto" w:fill="FFFFFF"/>
        </w:rPr>
        <w:fldChar w:fldCharType="end"/>
      </w:r>
      <w:r>
        <w:rPr>
          <w:rFonts w:ascii="Times New Roman" w:hAnsi="Times New Roman" w:cs="Times New Roman"/>
          <w:bCs/>
          <w:sz w:val="24"/>
          <w:szCs w:val="24"/>
          <w:shd w:val="clear" w:color="auto" w:fill="FFFFFF"/>
        </w:rPr>
        <w:t xml:space="preserve">. </w:t>
      </w:r>
      <w:r>
        <w:rPr>
          <w:rFonts w:ascii="Times New Roman" w:hAnsi="Times New Roman" w:cs="Times New Roman"/>
          <w:sz w:val="24"/>
          <w:szCs w:val="24"/>
          <w:shd w:val="clear" w:color="auto" w:fill="FFFFFF"/>
        </w:rPr>
        <w:t>Within the worldwide health care system, nurses' negative attitudes regarding pain treatment continue to be a concern.</w:t>
      </w:r>
    </w:p>
    <w:p>
      <w:pPr>
        <w:spacing w:before="100" w:beforeAutospacing="1" w:after="100" w:afterAutospacing="1" w:line="480" w:lineRule="auto"/>
        <w:ind w:firstLine="720"/>
        <w:jc w:val="both"/>
        <w:rPr>
          <w:rFonts w:ascii="Times New Roman" w:hAnsi="Times New Roman" w:eastAsia="Times New Roman" w:cs="Times New Roman"/>
          <w:bCs/>
          <w:sz w:val="24"/>
          <w:szCs w:val="24"/>
        </w:rPr>
      </w:pPr>
      <w:r>
        <w:rPr>
          <w:rFonts w:ascii="Times New Roman" w:hAnsi="Times New Roman" w:cs="Times New Roman"/>
          <w:sz w:val="24"/>
          <w:szCs w:val="24"/>
        </w:rPr>
        <w:t>In line with</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{"citationItems":[{"id":"ITEM-1","itemData":{"DOI":"10.1155/2020/4893707","ISSN":"12036765","PMID":"32831982","abstract":"Background. Pain management is a very important aspect of nursing care among postoperative patients. Deficit in the knowledge and bad attitude towards pain management among nurses remain a problem in Ghana. In order to manage pain better in the surgical wards, nurses should be well equipped with knowledge of pain assessment and management. Purpose. The purpose of the study was to determine nurse's knowledge and attitude towards pain management among postoperative patients in surgical units in Ghana. Methodology. This study used the quantitative study approach with a descriptive cross-sectional study design. A sample of 211 nurses was recruited using the convenience sampling method. Data were collected using a questionnaire regarding postoperative pain management. Descriptive statistics, Pearson's correlation coefficient, and the chi-squared test were used to analyze the data using SPSS version 16.0. Results. The mean age of the nurses was 29.77, with the youngest nurse being 23 years and oldest being 39 years. Majority (72.5%) of nurses had moderate knowledge, and 89.6% of the nurses had negative attitude towards pain management. There was no significant relationship between nurse's knowledge and years of experience as a nurse (r = -0.03, p=0.64), as well as no significant relationship between knowledge and number of years working in the surgical ward (r = 0.06, p=0.36). Also, there was no significant relationship between nurses' knowledge and nurses' attitude (r = 0.06, p=0.36). Conclusion and recommendation. The level of knowledge and attitude towards postoperative management were generally inadequate among nurses. Therefore, there is the need to implement in-service training on pain management for nurses working in the surgical units frequently.","author":[{"dropping-particle":"","family":"Adams","given":"Shamsu Deen Mahama","non-dropping-particle":"","parse-names":false,"suffix":""},{"dropping-particle":"","family":"Varaei","given":"Shokoh","non-dropping-particle":"","parse-names":false,"suffix":""},{"dropping-particle":"","family":"Jalalinia","given":"Fatemeh","non-dropping-particle":"","parse-names":false,"suffix":""}],"container-title":"Pain Research and Management","id":"ITEM-1","issued":{"date-parts":[["2020"]]},"title":"Nurses' Knowledge and Attitude towards Postoperative Pain Management in Ghana","type":"article-journal","volume":"2020"},"uris":["http://www.mendeley.com/documents/?uuid=c6b5b873-d7ff-4f6a-a24f-469c5e7cb282"]}],"mendeley":{"formattedCitation":"(Adams et al., 2020)","manualFormatting":" Adams et al. (2020)","plainTextFormattedCitation":"(Adams et al., 2020)","previouslyFormattedCitation":"(Adams et al.,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 Adams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did a study to ascertain nurses' knowledge and attitudes about postoperative pain care among surgical patients in Ghana and discovered that the majority of nurses (189, or 89.6%)) had negative attitudes, while 22 (10.4%) had favorable attitudes.  More than fifty seven percent (57.3%) of respondents to all the questions agree with the stance that "Patients should be urged to endure as much pain as possible before utilizing an opioid. </w:t>
      </w:r>
    </w:p>
    <w:p>
      <w:pPr>
        <w:spacing w:before="100" w:beforeAutospacing="1" w:after="100" w:afterAutospacing="1" w:line="480" w:lineRule="auto"/>
        <w:ind w:firstLine="720"/>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In Almadinah Almunawwarah, Saudi Arabia, researchers conducted a different study to gather information on the knowledge and attitudes of healthcare professionals on pain assessment. The findings showed that the medical professionals' attitudes on treating patients who are in pain are improper (Al-Quliti &amp; Alamri, 2015)</w:t>
      </w:r>
    </w:p>
    <w:p>
      <w:pPr>
        <w:spacing w:before="100" w:beforeAutospacing="1" w:after="100" w:afterAutospacing="1" w:line="480" w:lineRule="auto"/>
        <w:ind w:firstLine="720"/>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In a descriptive cross-sectional study conducted by Manwere, Chipfuwa, Mukwamba, and Chironda (2015) to evaluate registered nurses' knowledge and attitudes toward the treatment of adult medical patients' pain, it was discovered that the nurses had a negative attitude toward post-operative pain management. With a range of 20–80 percent, the overall mean attitude score was above fifty-six percent (56%) overall. Below the mean score of 50 percent, 30% of the 52 respondents had a score of 47 percent or below. In a descriptive cross-sectional study conducted by Manwere, Chipfuwa, Mukwamba, and Chironda (2015) to evaluate registered nurses' knowledge and attitudes toward the treatment of adult medical patients' pain, it was discovered that the nurses had a negative attitude toward post-operative pain management. With a range of 20–80 percent, the overall mean attitude score was above fifty-six percent (56%) overall. Below the mean score of 50 percent, 30% of the 52 respondents had a score of 47 percent or below.</w:t>
      </w:r>
    </w:p>
    <w:p>
      <w:pPr>
        <w:spacing w:before="100" w:beforeAutospacing="1" w:after="100" w:afterAutospacing="1" w:line="480" w:lineRule="auto"/>
        <w:ind w:firstLine="720"/>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In a descriptive cross-sectional study conducted by Manwere, Chipfuwa, Mukwamba, and Chironda (2015) to evaluate registered nurses' knowledge and attitudes toward the treatment of adult medical patients' pain, it was discovered that the nurses had a negative attitude toward post-operative pain management. With a range of 20–80 percent, the overall mean attitude score was above fifty-six percent (56%) overall. Below the mean score of 50 percent, 30% of the 52 respondents had a score of 47 percent or below.</w:t>
      </w:r>
    </w:p>
    <w:p>
      <w:pPr>
        <w:spacing w:before="100" w:beforeAutospacing="1" w:after="100" w:afterAutospacing="1"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According to </w:t>
      </w:r>
      <w:r>
        <w:rPr>
          <w:rFonts w:ascii="Times New Roman" w:hAnsi="Times New Roman" w:cs="Times New Roman"/>
          <w:bCs/>
          <w:sz w:val="24"/>
          <w:szCs w:val="24"/>
          <w:shd w:val="clear" w:color="auto" w:fill="FFFFFF"/>
        </w:rPr>
        <w:fldChar w:fldCharType="begin" w:fldLock="1"/>
      </w:r>
      <w:r>
        <w:rPr>
          <w:rFonts w:ascii="Times New Roman" w:hAnsi="Times New Roman" w:cs="Times New Roman"/>
          <w:bCs/>
          <w:sz w:val="24"/>
          <w:szCs w:val="24"/>
          <w:shd w:val="clear" w:color="auto" w:fill="FFFFFF"/>
        </w:rPr>
        <w:instrText xml:space="preserve">ADDIN CSL_CITATION {"citationItems":[{"id":"ITEM-1","itemData":{"DOI":"10.2139/ssrn.3693030","abstract":"Introduction: Effective management of postoperative pain can lead to comfort, better mobility, improved recovery and a short stay in the hospital while untreated pain has harmful impacts on the patients as hopelessness, hinder their response to treatment, and negatively affect their quality of life. Inadequate knowledge and undesirable attitudes toward postoperative pain management were reported as one of the major difficulties to implement effective pain management among nurses. Objective: The main purpose of this study was to assess the knowledge and attitudes of nurses towards postoperative pain management working at Hawassa University comprehensive specialized hospital. Methods: Institution based cross-sectional study was conducted among two hundred three nurses working at the surgical, gynecology, obstetric wards, ophthalmic unit and operation theater from April 1-30, 2019. Data were collected through standardized worldwide accepted \"Knowledge and Attitudes Survey Regarding Pain\" (KASRP) tool it contains 37 items questionnaire of two domains: knowledge and attitude towards pain management. The collected data was analyzed using SPSS version 20. A chi-square test was done and significantly associated factors were identified. Result: One hundred and eighty-seven questionnaires were returned giving a response rate (92.1%). The mean score of correct answers was (22.5%) with a minimum and maximum score of (18.2%) and (75.4%) respectively. After categorizing the level of knowledge and attitude, (82.2 %) of nurses possessed very low knowledge and negative attitude towards postoperative pain management. Prior training on pain management (χ² = 14.935, P=0.001) and reading of medical books or journals about pain (χ² = 5.019, P=0.025) were significantly associated with knowledge and attitude of nurses towards post-operative pain management. Conclusion: Nurses had a very low level of knowledge and a negative attitude towards post-operative pain management. The hospital provides in-service training and avail reading medical books to improve nurse's knowledge and attitude towards post-operative pain management. The federal ministry of Health of Ethiopia enriches the pain content of the nursing curriculum. [ABSTRACT FROM AUTHOR]","author":[{"dropping-particle":"","family":"Jemebere","given":"Wegene","non-dropping-particle":"","parse-names":false,"suffix":""}],"container-title":"SSRN Electronic Journal","id":"ITEM-1","issue":"September","issued":{"date-parts":[["2020"]]},"title":"Knowledge and Attitudes of Nurses towards Postoperative Pain Management in Southern Ethiopia","type":"article-journal"},"uris":["http://www.mendeley.com/documents/?uuid=977a5695-8bf4-461f-8c17-9353e9654613"]}],"mendeley":{"formattedCitation":"(Jemebere, 2020)","manualFormatting":"Jemebere et al. (2020)","plainTextFormattedCitation":"(Jemebere, 2020)","previouslyFormattedCitation":"(Jemebere, 2020)"},"properties":{"noteIndex":0},"schema":"https://github.com/citation-style-language/schema/raw/master/csl-citation.json"}</w:instrText>
      </w:r>
      <w:r>
        <w:rPr>
          <w:rFonts w:ascii="Times New Roman" w:hAnsi="Times New Roman" w:cs="Times New Roman"/>
          <w:bCs/>
          <w:sz w:val="24"/>
          <w:szCs w:val="24"/>
          <w:shd w:val="clear" w:color="auto" w:fill="FFFFFF"/>
        </w:rPr>
        <w:fldChar w:fldCharType="separate"/>
      </w:r>
      <w:r>
        <w:rPr>
          <w:rFonts w:ascii="Times New Roman" w:hAnsi="Times New Roman" w:cs="Times New Roman"/>
          <w:bCs/>
          <w:sz w:val="24"/>
          <w:szCs w:val="24"/>
          <w:shd w:val="clear" w:color="auto" w:fill="FFFFFF"/>
        </w:rPr>
        <w:t>Jemebere et al. (2020)</w:t>
      </w:r>
      <w:r>
        <w:rPr>
          <w:rFonts w:ascii="Times New Roman" w:hAnsi="Times New Roman" w:cs="Times New Roman"/>
          <w:bCs/>
          <w:sz w:val="24"/>
          <w:szCs w:val="24"/>
          <w:shd w:val="clear" w:color="auto" w:fill="FFFFFF"/>
        </w:rPr>
        <w:fldChar w:fldCharType="end"/>
      </w:r>
      <w:r>
        <w:rPr>
          <w:rFonts w:ascii="Times New Roman" w:hAnsi="Times New Roman" w:cs="Times New Roman"/>
          <w:bCs/>
          <w:sz w:val="24"/>
          <w:szCs w:val="24"/>
          <w:shd w:val="clear" w:color="auto" w:fill="FFFFFF"/>
        </w:rPr>
        <w:t>,</w:t>
      </w:r>
      <w:r>
        <w:rPr>
          <w:rFonts w:ascii="Times New Roman" w:hAnsi="Times New Roman" w:cs="Times New Roman"/>
          <w:sz w:val="24"/>
          <w:szCs w:val="24"/>
          <w:shd w:val="clear" w:color="auto" w:fill="FFFFFF"/>
        </w:rPr>
        <w:t xml:space="preserve"> conducted a study to evaluate the knowledge and attitudes of nurses working at the comprehensive, specialized hospital of Hawassa University toward post-operative pain management. It was discovered that out of 187 participants, more than 82 percent (82.2 percent) of the nurses had a negative attitude toward post-operative pain management. None of the nurses were described as having a cheerful or upbeat attitude.</w:t>
      </w:r>
      <w:r>
        <w:rPr>
          <w:rFonts w:ascii="Times New Roman" w:hAnsi="Times New Roman" w:cs="Times New Roman"/>
          <w:sz w:val="24"/>
          <w:szCs w:val="24"/>
        </w:rPr>
        <w:t xml:space="preserve"> This was supported by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{"citationItems":[{"id":"ITEM-1","itemData":{"DOI":"10.1111/jjns.12075","ISSN":"17427924","PMID":"25781037","abstract":"Aim: To provide an overview of the administration of opioid analgesics by nurses when prescription is on an \"as-needed\" basis for postoperative pain, and to identify the important factors that determine the decisions of nurses, by using the framework of predisposing, reinforcing, and enabling causes in educational diagnosis and evaluation. Methods: Multiple databases were searched for the period from 2000-2012. Out of a total of 1755 citations and 148 abstracts retrieved, 39 studies met the criteria for inclusion. Studies were considered eligible for review if they focused on situations or factors influencing a nurse's performance in pain assessment and the administration of opioid analgesics in postoperative pain management. Results: The topics of the descriptive and qualitative studies presented four themes: (i) nurses' knowledge and attitudes about pain management; (ii) the situation of nurses' work practices in administrating range orders for opioid analgesics; (iii) factors that influenced nurses' work practices; and (iv) perceived barriers to effective pain management from the nurse's perspective. The experimental studies investigated the effects of different approaches in nurses' pain management practices in postoperative settings and their outcomes for patients. Conclusion: A knowledge deficit was observed to be the reason in most cases for a nurse's failure to administrate adequate analgesics for postoperative pain relief. Pain-related education for nurses is the cornerstone to improve pain management. The integration of enabling and reinforcing factors will help nurses to develop the ability to make the decision to engage in a comprehensive intervention to improve pain management and patient outcomes.","author":[{"dropping-particle":"","family":"Yin","given":"Hai Hui","non-dropping-particle":"","parse-names":false,"suffix":""},{"dropping-particle":"","family":"Tse","given":"Mimi M.Y.","non-dropping-particle":"","parse-names":false,"suffix":""},{"dropping-particle":"","family":"Wong","given":"Frances K.Y.","non-dropping-particle":"","parse-names":false,"suffix":""}],"container-title":"Japan Journal of Nursing Science","id":"ITEM-1","issue":"4","issued":{"date-parts":[["2015"]]},"page":"259-275","title":"Systematic review of the predisposing, enabling, and reinforcing factors which influence nursing administration of opioids in the postoperative period","type":"article-journal","volume":"12"},"uris":["http://www.mendeley.com/documents/?uuid=109a71ab-ab5c-415d-9ff8-810b4b466022"]}],"mendeley":{"formattedCitation":"(Yin et al., 2015)","manualFormatting":"Yin et al. (2015)","plainTextFormattedCitation":"(Yin et al., 2015)","previouslyFormattedCitation":"(Yin et al.,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Yin et al. (2015)</w:t>
      </w:r>
      <w:r>
        <w:rPr>
          <w:rFonts w:ascii="Times New Roman" w:hAnsi="Times New Roman" w:cs="Times New Roman"/>
          <w:sz w:val="24"/>
          <w:szCs w:val="24"/>
        </w:rPr>
        <w:fldChar w:fldCharType="end"/>
      </w:r>
      <w:r>
        <w:rPr>
          <w:rFonts w:ascii="Times New Roman" w:hAnsi="Times New Roman" w:cs="Times New Roman"/>
          <w:sz w:val="24"/>
          <w:szCs w:val="24"/>
        </w:rPr>
        <w:t xml:space="preserve"> Whoever said that nurses have bad views about patients expressing their agony by exaggerating it in order to attract staff attention. Taking into account the results, it is imperative to use a pain evaluation scale in postoperative nursing care, which will enhance the nurse's attitude.</w:t>
      </w:r>
    </w:p>
    <w:p>
      <w:pPr>
        <w:autoSpaceDE w:val="0"/>
        <w:autoSpaceDN w:val="0"/>
        <w:adjustRightInd w:val="0"/>
        <w:spacing w:before="100" w:beforeAutospacing="1" w:after="100" w:afterAutospacing="1" w:line="480" w:lineRule="auto"/>
        <w:ind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Patient satisfaction varies depending on how patients feel about their care or whether they are met in terms of expectations (Eti Aslan et al., 2018). Patient satisfaction may be negatively impacted by nurses' post-operative caring behaviors and perceptions of post-operative pain as usual and unavoidable. As a result, post-operative pain assessment is recognized as a crucial and significant component of post-operative pain management. Because it is subjective, postoperative pain should always be treated on an individual basis. Inline, </w:t>
      </w:r>
      <w:r>
        <w:rPr>
          <w:rFonts w:ascii="Times New Roman" w:hAnsi="Times New Roman" w:cs="Times New Roman"/>
          <w:bCs/>
          <w:sz w:val="24"/>
          <w:szCs w:val="24"/>
          <w:shd w:val="clear" w:color="auto" w:fill="FFFFFF"/>
        </w:rPr>
        <w:fldChar w:fldCharType="begin" w:fldLock="1"/>
      </w:r>
      <w:r>
        <w:rPr>
          <w:rFonts w:ascii="Times New Roman" w:hAnsi="Times New Roman" w:cs="Times New Roman"/>
          <w:bCs/>
          <w:sz w:val="24"/>
          <w:szCs w:val="24"/>
          <w:shd w:val="clear" w:color="auto" w:fill="FFFFFF"/>
        </w:rPr>
        <w:instrText xml:space="preserve">ADDIN CSL_CITATION {"citationItems":[{"id":"ITEM-1","itemData":{"DOI":"10.1155/2011/278397","ISSN":"12036765","PMID":"22184553","abstract":"BACKGROUND/OBJECTIVES: Pain-related misbeliefs among health care professionals (HCPs) are common and contribute to ineffective postoperative pain assessment. While standardized patients (SPs) have been effectively used to improve HCPs' assessment skills, not all centres have SP programs. The present equivalence randomized controlled pilot trial examined the efficacy of an alternative simulation method - deteriorating patientbased simulation (DPS) - versus SPs for improving HCPs' pain knowledge and assessment skills. METHODS: Seventy-two HCPs were randomly assigned to a 3 h SP or DPS simulation intervention. Measures were recorded at baseline, immediate postintervention and two months postintervention. The primary outcome was HCPs' pain assessment performance as measured by the postoperative Pain Assessment Skills Tool (PAST). Secondary outcomes included HCPs knowledge of pain-related misbeliefs, and perceived satisfaction and quality of the simulation. These outcomes were measured by the Pain Beliefs Scale (PBS), the Satisfaction with Simulated Learning Scale (SSLS) and the Simulation Design Scale (SDS), respectively. Student's t tests were used to test for overall group differences in postintervention PAST, SSLS and SDS scores. One-way analysis of covariance tested for overall group differences in PBS scores. RESULTS: DPS and SP groups did not differ on post-test PAST, SSLS or SDS scores. Knowledge of pain-related misbeliefs was also similar between groups. CONCLUSIONS: These pilot data suggest that DPS is an effective simulation alternative for HCPs' education on postoperative pain assessment, with improvements in performance and knowledge comparable with SP-based simulation. An equivalence trial to examine the effectiveness of deteriorating patient-based simulation versus standardized patients is warranted. ©2011 Pulsus Group Inc. All rights reserved.","author":[{"dropping-particle":"","family":"McGillion","given":"Michael","non-dropping-particle":"","parse-names":false,"suffix":""},{"dropping-particle":"","family":"Dubrowski","given":"Adam","non-dropping-particle":"","parse-names":false,"suffix":""},{"dropping-particle":"","family":"Stremler","given":"Robyn","non-dropping-particle":"","parse-names":false,"suffix":""},{"dropping-particle":"","family":"Watt-Watson","given":"Judy","non-dropping-particle":"","parse-names":false,"suffix":""},{"dropping-particle":"","family":"Campbell","given":"Fiona","non-dropping-particle":"","parse-names":false,"suffix":""},{"dropping-particle":"","family":"McCartney","given":"Colin","non-dropping-particle":"","parse-names":false,"suffix":""},{"dropping-particle":"","family":"Victor","given":"J. Charles","non-dropping-particle":"","parse-names":false,"suffix":""},{"dropping-particle":"","family":"Wiseman","given":"Jeffrey","non-dropping-particle":"","parse-names":false,"suffix":""},{"dropping-particle":"","family":"Snell","given":"Linda","non-dropping-particle":"","parse-names":false,"suffix":""},{"dropping-particle":"","family":"Costello","given":"Judy","non-dropping-particle":"","parse-names":false,"suffix":""},{"dropping-particle":"","family":"Robb","given":"Anja","non-dropping-particle":"","parse-names":false,"suffix":""},{"dropping-particle":"","family":"Nelson","given":"Sioban","non-dropping-particle":"","parse-names":false,"suffix":""},{"dropping-particle":"","family":"Stinson","given":"Jennifer","non-dropping-particle":"","parse-names":false,"suffix":""},{"dropping-particle":"","family":"Hunter","given":"Judith","non-dropping-particle":"","parse-names":false,"suffix":""},{"dropping-particle":"","family":"Dao","given":"Thuan","non-dropping-particle":"","parse-names":false,"suffix":""},{"dropping-particle":"","family":"Promislow","given":"Sara","non-dropping-particle":"","parse-names":false,"suffix":""},{"dropping-particle":"","family":"McNaughton","given":"Nancy","non-dropping-particle":"","parse-names":false,"suffix":""},{"dropping-particle":"","family":"White","given":"Scott","non-dropping-particle":"","parse-names":false,"suffix":""},{"dropping-particle":"","family":"Shobbrook","given":"Cindy","non-dropping-particle":"","parse-names":false,"suffix":""},{"dropping-particle":"","family":"Jeffs","given":"Lianne","non-dropping-particle":"","parse-names":false,"suffix":""},{"dropping-particle":"","family":"Mauch","given":"Kianda","non-dropping-particle":"","parse-names":false,"suffix":""},{"dropping-particle":"","family":"Leegaard","given":"Marit","non-dropping-particle":"","parse-names":false,"suffix":""},{"dropping-particle":"","family":"Beattie","given":"W. Scott","non-dropping-particle":"","parse-names":false,"suffix":""},{"dropping-particle":"","family":"Schreiber","given":"Martin","non-dropping-particle":"","parse-names":false,"suffix":""},{"dropping-particle":"","family":"Silver","given":"Ivan","non-dropping-particle":"","parse-names":false,"suffix":""}],"container-title":"Pain Research and Management","id":"ITEM-1","issue":"6","issued":{"date-parts":[["2011"]]},"page":"433-439","title":"The Postoperative Pain Assessment Skills pilot trial","type":"article-journal","volume":"16"},"uris":["http://www.mendeley.com/documents/?uuid=845043b3-e68a-4719-981d-9277f9c2e574"]}],"mendeley":{"formattedCitation":"(McGillion et al., 2011)","manualFormatting":"McGillion et al. (2011)","plainTextFormattedCitation":"(McGillion et al., 2011)","previouslyFormattedCitation":"(McGillion et al., 2011)"},"properties":{"noteIndex":0},"schema":"https://github.com/citation-style-language/schema/raw/master/csl-citation.json"}</w:instrText>
      </w:r>
      <w:r>
        <w:rPr>
          <w:rFonts w:ascii="Times New Roman" w:hAnsi="Times New Roman" w:cs="Times New Roman"/>
          <w:bCs/>
          <w:sz w:val="24"/>
          <w:szCs w:val="24"/>
          <w:shd w:val="clear" w:color="auto" w:fill="FFFFFF"/>
        </w:rPr>
        <w:fldChar w:fldCharType="separate"/>
      </w:r>
      <w:r>
        <w:rPr>
          <w:rFonts w:ascii="Times New Roman" w:hAnsi="Times New Roman" w:cs="Times New Roman"/>
          <w:bCs/>
          <w:sz w:val="24"/>
          <w:szCs w:val="24"/>
          <w:shd w:val="clear" w:color="auto" w:fill="FFFFFF"/>
        </w:rPr>
        <w:t>McGillion et al. (2011)</w:t>
      </w:r>
      <w:r>
        <w:rPr>
          <w:rFonts w:ascii="Times New Roman" w:hAnsi="Times New Roman" w:cs="Times New Roman"/>
          <w:bCs/>
          <w:sz w:val="24"/>
          <w:szCs w:val="24"/>
          <w:shd w:val="clear" w:color="auto" w:fill="FFFFFF"/>
        </w:rPr>
        <w:fldChar w:fldCharType="end"/>
      </w:r>
      <w:r>
        <w:rPr>
          <w:rFonts w:ascii="Times New Roman" w:hAnsi="Times New Roman" w:cs="Times New Roman"/>
          <w:bCs/>
          <w:sz w:val="24"/>
          <w:szCs w:val="24"/>
          <w:shd w:val="clear" w:color="auto" w:fill="FFFFFF"/>
        </w:rPr>
        <w:t xml:space="preserve"> </w:t>
      </w:r>
      <w:r>
        <w:rPr>
          <w:rFonts w:ascii="Times New Roman" w:hAnsi="Times New Roman" w:cs="Times New Roman"/>
          <w:sz w:val="24"/>
          <w:szCs w:val="24"/>
          <w:shd w:val="clear" w:color="auto" w:fill="FFFFFF"/>
        </w:rPr>
        <w:t>conducted a  study on post-operative pain assessment skills pilot trial, it was shown that health care workers frequently hold pain-related myths that make post-operative pain assessment inefficient.</w:t>
      </w:r>
    </w:p>
    <w:p>
      <w:pPr>
        <w:autoSpaceDE w:val="0"/>
        <w:autoSpaceDN w:val="0"/>
        <w:adjustRightInd w:val="0"/>
        <w:spacing w:before="100" w:beforeAutospacing="1" w:after="100" w:afterAutospacing="1" w:line="480" w:lineRule="auto"/>
        <w:ind w:firstLine="720"/>
        <w:jc w:val="both"/>
        <w:rPr>
          <w:rFonts w:ascii="Times New Roman" w:hAnsi="Times New Roman" w:cs="Times New Roman"/>
          <w:sz w:val="24"/>
          <w:szCs w:val="24"/>
        </w:rPr>
      </w:pPr>
      <w:r>
        <w:rPr>
          <w:rFonts w:ascii="Times New Roman" w:hAnsi="Times New Roman" w:cs="Times New Roman"/>
          <w:bCs/>
          <w:sz w:val="24"/>
          <w:szCs w:val="24"/>
        </w:rPr>
        <w:t>In a descriptive cross-sectional study conducted by Kiwanuka and Masaba (2018) at the Uganda Cancer Institute, it was determined that nurses there had positive attitudes toward pain assessment. The average attitude scale score for nurses was nine out of a possible twelve, indicating a positive attitude towards pain assessment.</w:t>
      </w:r>
      <w:r>
        <w:rPr>
          <w:rFonts w:ascii="Times New Roman" w:hAnsi="Times New Roman" w:eastAsia="Times New Roman" w:cs="Times New Roman"/>
          <w:color w:val="000000"/>
          <w:sz w:val="24"/>
          <w:szCs w:val="24"/>
        </w:rPr>
        <w:t xml:space="preserve"> For children under the age of eleven, nurses "should depend completely on the guardians'/parents' evaluation to establish a child's pain level." It was offered by 63 respondents, or 94.02 percent, showing a definite favorable attitude. The attitude and actions of nurses play a crucial role in fostering the patient's comfort. The nurse's attitude may thus be positively impacted by including the pain assessment scale into post-operative pain care.</w:t>
      </w:r>
    </w:p>
    <w:p>
      <w:pPr>
        <w:spacing w:before="100" w:beforeAutospacing="1" w:after="100" w:afterAutospacing="1" w:line="480" w:lineRule="auto"/>
        <w:ind w:firstLine="720"/>
        <w:jc w:val="both"/>
        <w:rPr>
          <w:rFonts w:ascii="Times New Roman" w:hAnsi="Times New Roman" w:cs="Times New Roman"/>
          <w:b/>
          <w:sz w:val="24"/>
          <w:szCs w:val="24"/>
        </w:rPr>
      </w:pPr>
      <w:r>
        <w:rPr>
          <w:rFonts w:ascii="Times New Roman" w:hAnsi="Times New Roman" w:cs="Times New Roman"/>
          <w:iCs/>
          <w:sz w:val="24"/>
          <w:szCs w:val="24"/>
        </w:rPr>
        <w:t>In a descriptive survey research design to assess nurses' knowledge, attitudes, and barriers surrounding pain, Shoqirat et al. (2019) and Buvanendran et al. (2015) discovered that the surgical nurses in this study had negative attitudes toward pain management in post-operative patients.</w:t>
      </w:r>
      <w:r>
        <w:rPr>
          <w:rFonts w:ascii="Times New Roman" w:hAnsi="Times New Roman" w:cs="Times New Roman"/>
          <w:sz w:val="24"/>
          <w:szCs w:val="24"/>
        </w:rPr>
        <w:t xml:space="preserve"> The average of all replies was 3.12 out of 5, which is a low score (63.9%), showing that the participants had negative statements. </w:t>
      </w:r>
      <w:r>
        <w:rPr>
          <w:rFonts w:ascii="Times New Roman" w:hAnsi="Times New Roman" w:cs="Times New Roman"/>
          <w:sz w:val="24"/>
          <w:szCs w:val="24"/>
          <w:shd w:val="clear" w:color="auto" w:fill="FFFFFF"/>
        </w:rPr>
        <w:t>Patients using opioids on a PRN basis may be more likely to exhibit clock-watching habits, according to the question item, which has a mean score of 3.78/5 and a standard deviation of 0.99. The mean score and standard deviation for another test item, "When a patient requests increasing amounts of analgesics to control pain, this usually suggests that the patient is psychologically dependent," were 3.94/5 and 0.94, respectively. According to the results, a bad attitude has an adverse effect on post-operative pain control. Therefore, it is advisable to use the educational intervention on the use of a pain assessment scale for post-operative pain management.</w:t>
      </w:r>
    </w:p>
    <w:p>
      <w:pPr>
        <w:autoSpaceDE w:val="0"/>
        <w:autoSpaceDN w:val="0"/>
        <w:adjustRightInd w:val="0"/>
        <w:spacing w:before="100" w:beforeAutospacing="1" w:after="100" w:afterAutospacing="1" w:line="480" w:lineRule="auto"/>
        <w:ind w:firstLine="720"/>
        <w:jc w:val="both"/>
        <w:rPr>
          <w:rFonts w:ascii="Times New Roman" w:hAnsi="Times New Roman" w:cs="Times New Roman" w:eastAsiaTheme="minorEastAsia"/>
          <w:sz w:val="24"/>
          <w:szCs w:val="24"/>
        </w:rPr>
      </w:pPr>
      <w:r>
        <w:rPr>
          <w:rFonts w:ascii="Times New Roman" w:hAnsi="Times New Roman" w:cs="Times New Roman"/>
          <w:sz w:val="24"/>
          <w:szCs w:val="24"/>
          <w:shd w:val="clear" w:color="auto" w:fill="FFFFFF"/>
        </w:rPr>
        <w:t xml:space="preserve">According to a study on nurses' knowledge and attitudes toward post-operative pain management conducted in Ghana by Adams et al. </w:t>
      </w:r>
      <w:r>
        <w:rPr>
          <w:rFonts w:ascii="Times New Roman" w:hAnsi="Times New Roman" w:cs="Times New Roman"/>
          <w:sz w:val="24"/>
          <w:szCs w:val="24"/>
          <w:shd w:val="clear" w:color="auto" w:fill="FFFFFF"/>
          <w:lang w:val="fr-FR"/>
        </w:rPr>
        <w:t xml:space="preserve">(2020), Salim, Tuffaha and Brant (2020), Al-Quliti &amp; Alamri (2015), Dessie et al. </w:t>
      </w:r>
      <w:r>
        <w:rPr>
          <w:rFonts w:ascii="Times New Roman" w:hAnsi="Times New Roman" w:cs="Times New Roman"/>
          <w:sz w:val="24"/>
          <w:szCs w:val="24"/>
          <w:shd w:val="clear" w:color="auto" w:fill="FFFFFF"/>
        </w:rPr>
        <w:t>(2019), and Menlah et al. (2018), there was a negative attitude among the nurses toward post-operative management.</w:t>
      </w:r>
    </w:p>
    <w:p>
      <w:pPr>
        <w:shd w:val="clear" w:color="auto" w:fill="FFFFFF"/>
        <w:spacing w:before="100" w:beforeAutospacing="1" w:after="100" w:afterAutospacing="1" w:line="480" w:lineRule="auto"/>
        <w:ind w:firstLine="720"/>
        <w:jc w:val="both"/>
        <w:outlineLvl w:val="0"/>
        <w:rPr>
          <w:rFonts w:ascii="Times New Roman" w:hAnsi="Times New Roman" w:cs="Times New Roman" w:eastAsiaTheme="minorEastAsia"/>
          <w:sz w:val="24"/>
          <w:szCs w:val="24"/>
        </w:rPr>
      </w:pPr>
      <w:bookmarkStart w:id="65" w:name="_Toc134604142"/>
      <w:bookmarkStart w:id="66" w:name="_Toc142753395"/>
      <w:bookmarkStart w:id="67" w:name="_Toc134608274"/>
      <w:r>
        <w:rPr>
          <w:rFonts w:ascii="Times New Roman" w:hAnsi="Times New Roman" w:cs="Times New Roman" w:eastAsiaTheme="minorEastAsia"/>
          <w:sz w:val="24"/>
          <w:szCs w:val="24"/>
        </w:rPr>
        <w:t>As a result, postoperative pain management must incorporate pain evaluation, which may change the nurse's perspective on postoperative pain management. Client satisfaction will result from a good post-operative pain evaluation because, rather than just going through the motions, an appropriate intervention to treat post-operative pain will be selected after assessment of pain severity.</w:t>
      </w:r>
      <w:bookmarkEnd w:id="65"/>
      <w:bookmarkEnd w:id="66"/>
      <w:bookmarkEnd w:id="67"/>
    </w:p>
    <w:p>
      <w:pPr>
        <w:pStyle w:val="3"/>
        <w:rPr>
          <w:rFonts w:ascii="Times New Roman" w:hAnsi="Times New Roman" w:cs="Times New Roman"/>
          <w:b w:val="0"/>
          <w:sz w:val="24"/>
          <w:szCs w:val="24"/>
        </w:rPr>
      </w:pPr>
      <w:bookmarkStart w:id="68" w:name="_Toc134604143"/>
      <w:bookmarkStart w:id="69" w:name="_Toc142753396"/>
      <w:r>
        <w:rPr>
          <w:rFonts w:ascii="Times New Roman" w:hAnsi="Times New Roman" w:cs="Times New Roman"/>
          <w:sz w:val="24"/>
          <w:szCs w:val="24"/>
        </w:rPr>
        <w:t>Nurses’ practice towards post-operative pain assessment.</w:t>
      </w:r>
      <w:bookmarkEnd w:id="68"/>
      <w:bookmarkEnd w:id="69"/>
    </w:p>
    <w:p>
      <w:pPr>
        <w:autoSpaceDE w:val="0"/>
        <w:autoSpaceDN w:val="0"/>
        <w:adjustRightInd w:val="0"/>
        <w:spacing w:before="100" w:beforeAutospacing="1" w:after="100" w:afterAutospacing="1"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In nursing, practice refers to the execution of interventions based on pain assessment and management concepts. In postoperative pain management, the assessment of pain is a critical nursing action that necessitates interaction between the patient and the nurse. The methods for assessing pain include physical responses, observation, and patient self-report using pain scales. Effective pain management is thought to start with successful pain evaluation, which is why it's imperative for all post-operative treatments to be done on a regular basis</w:t>
      </w:r>
      <w:r>
        <w:rPr>
          <w:rFonts w:ascii="Times New Roman" w:hAnsi="Times New Roman" w:cs="Times New Roman"/>
          <w:bCs/>
          <w:sz w:val="24"/>
          <w:szCs w:val="24"/>
          <w:shd w:val="clear" w:color="auto" w:fill="FFFFFF"/>
        </w:rPr>
        <w:fldChar w:fldCharType="begin" w:fldLock="1"/>
      </w:r>
      <w:r>
        <w:rPr>
          <w:rFonts w:ascii="Times New Roman" w:hAnsi="Times New Roman" w:cs="Times New Roman"/>
          <w:bCs/>
          <w:sz w:val="24"/>
          <w:szCs w:val="24"/>
          <w:shd w:val="clear" w:color="auto" w:fill="FFFFFF"/>
        </w:rPr>
        <w:instrText xml:space="preserve">ADDIN CSL_CITATION {"citationItems":[{"id":"ITEM-1","itemData":{"DOI":"10.1177/2158244020924377","ISSN":"21582440","abstract":"The aim of the study was to investigate surgical patients’ pain experience and the quality of nursing care in managing acute postoperative pain. A descriptive cross-sectional study using a Strategic and Clinical Quality Indicators in Postoperative Pain Management Questionnaire collected data of 247 patients who underwent surgery in the surgical clinics of a state hospital. Data of 141 patients were included in the analysis. The mean scores for the scale items indicated that the quality of care was acceptable or low. The level of postoperative care, nursing interventions, and environmental subscales of the questionnaire were at an acceptable level, but pain management subscales of the questionnaire were low. These results suggest that health care, including measurable, applicable quality indicators, should be planned and evaluated to maintain professional nursing services, to achieve postoperative pain management and to relieve pain.","author":[{"dropping-particle":"","family":"Köse Tamer","given":"Laika","non-dropping-particle":"","parse-names":false,"suffix":""},{"dropping-particle":"","family":"Sucu Dağ","given":"Gülten","non-dropping-particle":"","parse-names":false,"suffix":""}],"container-title":"SAGE Open","id":"ITEM-1","issue":"2","issued":{"date-parts":[["2020"]]},"title":"The Assessment of Pain and the Quality of Postoperative Pain Management in Surgical Patients","type":"article-journal","volume":"10"},"uris":["http://www.mendeley.com/documents/?uuid=ed2fcb09-8a2b-42b7-b62f-f418152b53b9"]}],"mendeley":{"formattedCitation":"(Köse Tamer &amp; Sucu Dağ, 2020)","plainTextFormattedCitation":"(Köse Tamer &amp; Sucu Dağ, 2020)","previouslyFormattedCitation":"(Köse Tamer &amp; Sucu Dağ, 2020)"},"properties":{"noteIndex":0},"schema":"https://github.com/citation-style-language/schema/raw/master/csl-citation.json"}</w:instrText>
      </w:r>
      <w:r>
        <w:rPr>
          <w:rFonts w:ascii="Times New Roman" w:hAnsi="Times New Roman" w:cs="Times New Roman"/>
          <w:bCs/>
          <w:sz w:val="24"/>
          <w:szCs w:val="24"/>
          <w:shd w:val="clear" w:color="auto" w:fill="FFFFFF"/>
        </w:rPr>
        <w:fldChar w:fldCharType="separate"/>
      </w:r>
      <w:r>
        <w:rPr>
          <w:rFonts w:ascii="Times New Roman" w:hAnsi="Times New Roman" w:cs="Times New Roman"/>
          <w:bCs/>
          <w:sz w:val="24"/>
          <w:szCs w:val="24"/>
          <w:shd w:val="clear" w:color="auto" w:fill="FFFFFF"/>
        </w:rPr>
        <w:t>(Köse Tamer &amp; Sucu Dağ, 2020)</w:t>
      </w:r>
      <w:r>
        <w:rPr>
          <w:rFonts w:ascii="Times New Roman" w:hAnsi="Times New Roman" w:cs="Times New Roman"/>
          <w:bCs/>
          <w:sz w:val="24"/>
          <w:szCs w:val="24"/>
          <w:shd w:val="clear" w:color="auto" w:fill="FFFFFF"/>
        </w:rPr>
        <w:fldChar w:fldCharType="end"/>
      </w:r>
      <w:r>
        <w:rPr>
          <w:rFonts w:ascii="Times New Roman" w:hAnsi="Times New Roman" w:cs="Times New Roman"/>
          <w:bCs/>
          <w:sz w:val="24"/>
          <w:szCs w:val="24"/>
          <w:shd w:val="clear" w:color="auto" w:fill="FFFFFF"/>
        </w:rPr>
        <w:t xml:space="preserve">. </w:t>
      </w:r>
    </w:p>
    <w:p>
      <w:pPr>
        <w:spacing w:before="100" w:beforeAutospacing="1" w:after="100" w:afterAutospacing="1"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According to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{"citationItems":[{"id":"ITEM-1","itemData":{"DOI":"10.1177/2158244020924377","ISSN":"21582440","abstract":"The aim of the study was to investigate surgical patients’ pain experience and the quality of nursing care in managing acute postoperative pain. A descriptive cross-sectional study using a Strategic and Clinical Quality Indicators in Postoperative Pain Management Questionnaire collected data of 247 patients who underwent surgery in the surgical clinics of a state hospital. Data of 141 patients were included in the analysis. The mean scores for the scale items indicated that the quality of care was acceptable or low. The level of postoperative care, nursing interventions, and environmental subscales of the questionnaire were at an acceptable level, but pain management subscales of the questionnaire were low. These results suggest that health care, including measurable, applicable quality indicators, should be planned and evaluated to maintain professional nursing services, to achieve postoperative pain management and to relieve pain.","author":[{"dropping-particle":"","family":"Köse Tamer","given":"Laika","non-dropping-particle":"","parse-names":false,"suffix":""},{"dropping-particle":"","family":"Sucu Dağ","given":"Gülten","non-dropping-particle":"","parse-names":false,"suffix":""}],"container-title":"SAGE Open","id":"ITEM-1","issue":"2","issued":{"date-parts":[["2020"]]},"title":"The Assessment of Pain and the Quality of Postoperative Pain Management in Surgical Patients","type":"article-journal","volume":"10"},"uris":["http://www.mendeley.com/documents/?uuid=ed2fcb09-8a2b-42b7-b62f-f418152b53b9"]}],"mendeley":{"formattedCitation":"(Köse Tamer &amp; Sucu Dağ, 2020)","manualFormatting":"Köse Tamer and Sucu Dağ (2020)","plainTextFormattedCitation":"(Köse Tamer &amp; Sucu Dağ, 2020)","previouslyFormattedCitation":"(Köse Tamer &amp; Sucu Dağ,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Köse Tamer and Sucu Dağ (2020)</w:t>
      </w:r>
      <w:r>
        <w:rPr>
          <w:rFonts w:ascii="Times New Roman" w:hAnsi="Times New Roman" w:cs="Times New Roman"/>
          <w:sz w:val="24"/>
          <w:szCs w:val="24"/>
        </w:rPr>
        <w:fldChar w:fldCharType="end"/>
      </w:r>
      <w:r>
        <w:rPr>
          <w:rFonts w:ascii="Times New Roman" w:hAnsi="Times New Roman" w:cs="Times New Roman"/>
          <w:bCs/>
          <w:color w:val="FF0000"/>
          <w:sz w:val="24"/>
          <w:szCs w:val="24"/>
        </w:rPr>
        <w:t xml:space="preserve"> </w:t>
      </w:r>
      <w:r>
        <w:rPr>
          <w:rFonts w:ascii="Times New Roman" w:hAnsi="Times New Roman" w:cs="Times New Roman"/>
          <w:bCs/>
          <w:sz w:val="24"/>
          <w:szCs w:val="24"/>
        </w:rPr>
        <w:t>observation, history taking, examination, palpation, and the use of the pain assessment scale to evaluate intensity are all steps in the process of assessing pain. A pain scale is a rating instrument that people can use to communicate their level of pain to a medical Professionals.</w:t>
      </w:r>
      <w:r>
        <w:rPr>
          <w:rFonts w:ascii="Times New Roman" w:hAnsi="Times New Roman" w:cs="Times New Roman"/>
          <w:bCs/>
          <w:sz w:val="24"/>
          <w:szCs w:val="24"/>
          <w:shd w:val="clear" w:color="auto" w:fill="FFFFFF"/>
        </w:rPr>
        <w:t xml:space="preserve"> There are several tools available for nurses to use to categorize the level of pain, including numerical rating scales that use numbers to rate pain, visual analog scales that ask patients to indicate where on the scale corresponds to their level of pain, and categorical scales that use words as the primary communication tool and may also incorporate numbers, colors, or relative location to communicate pain</w:t>
      </w:r>
      <w:r>
        <w:rPr>
          <w:rFonts w:ascii="Times New Roman" w:hAnsi="Times New Roman" w:cs="Times New Roman"/>
          <w:sz w:val="24"/>
          <w:szCs w:val="24"/>
          <w:shd w:val="clear" w:color="auto" w:fill="FFFFFF"/>
        </w:rPr>
        <w:fldChar w:fldCharType="begin" w:fldLock="1"/>
      </w:r>
      <w:r>
        <w:rPr>
          <w:rFonts w:ascii="Times New Roman" w:hAnsi="Times New Roman" w:cs="Times New Roman"/>
          <w:sz w:val="24"/>
          <w:szCs w:val="24"/>
          <w:shd w:val="clear" w:color="auto" w:fill="FFFFFF"/>
        </w:rPr>
        <w:instrText xml:space="preserve">ADDIN CSL_CITATION {"citationItems":[{"id":"ITEM-1","itemData":{"DOI":"10.17712/nsj.2015.2.20140546","ISSN":"13196138","PMID":"25864065","abstract":"Objective: To present data on knowledge and attitudes toward pain assessment among health care providers in Almadinah Almunawwarah, Saudi Arabia. Methods: This exploratory study required at least 100 participants to attain an effect size of 0.2 or larger. A convenience sample was recruited from the major hospitals in Almadinah Almunawwarah, Saudi Arabia; King Fahad Hospital, Ohud Hospital, Alansar Hospital, Almeqat Hospital, and the Maternity Hospital. Data collection occurred between January and April 2014. Knowledge of pain assessment was examined by administering the Knowledge and Attitudes Survey Regarding Pain. Results: Data from 105 participants was collected. Seventy-three participants scored 44% or below (69.5%), and 32 participants scored 45% and above (30.5%). Additionally, only 6 participants (5.7%) scored above 60%. There were significant differences between male and female scores (p=0.05), physicians’ and nurses’ scores (p=0.001), and level of education (p=0.009). There were no significant differences in the passing scores across means of nationality, the department where participants worked, years of experience, and age of participants. Conclusion: There is a deficit in pain assessment knowledge, and pain management in the study group. Continuous education on pain assessment is required to increase the health care providers’ knowledge, and enhance their practices regarding pain assessment and treatment.","author":[{"dropping-particle":"","family":"Al-Quliti","given":"Khalid W.","non-dropping-particle":"","parse-names":false,"suffix":""},{"dropping-particle":"","family":"Alamri","given":"Majed S.","non-dropping-particle":"","parse-names":false,"suffix":""}],"container-title":"Neurosciences","id":"ITEM-1","issue":"2","issued":{"date-parts":[["2015"]]},"page":"131-136","title":"Knowledge, attitudes, and practices of health care providers in Almadinah Almunawwarah, Saudi Arabia","type":"article-journal","volume":"20"},"uris":["http://www.mendeley.com/documents/?uuid=2230e7ec-ed87-4711-985e-53a4e8b1e266"]}],"mendeley":{"formattedCitation":"(Al-Quliti &amp; Alamri, 2015)","plainTextFormattedCitation":"(Al-Quliti &amp; Alamri, 2015)","previouslyFormattedCitation":"(Al-Quliti &amp; Alamri, 2015)"},"properties":{"noteIndex":0},"schema":"https://github.com/citation-style-language/schema/raw/master/csl-citation.json"}</w:instrText>
      </w:r>
      <w:r>
        <w:rPr>
          <w:rFonts w:ascii="Times New Roman" w:hAnsi="Times New Roman" w:cs="Times New Roman"/>
          <w:sz w:val="24"/>
          <w:szCs w:val="24"/>
          <w:shd w:val="clear" w:color="auto" w:fill="FFFFFF"/>
        </w:rPr>
        <w:fldChar w:fldCharType="separate"/>
      </w:r>
      <w:r>
        <w:rPr>
          <w:rFonts w:ascii="Times New Roman" w:hAnsi="Times New Roman" w:cs="Times New Roman"/>
          <w:sz w:val="24"/>
          <w:szCs w:val="24"/>
          <w:shd w:val="clear" w:color="auto" w:fill="FFFFFF"/>
        </w:rPr>
        <w:t>(Al-Quliti &amp; Alamri, 2015)</w:t>
      </w:r>
      <w:r>
        <w:rPr>
          <w:rFonts w:ascii="Times New Roman" w:hAnsi="Times New Roman" w:cs="Times New Roman"/>
          <w:sz w:val="24"/>
          <w:szCs w:val="24"/>
          <w:shd w:val="clear" w:color="auto" w:fill="FFFFFF"/>
        </w:rPr>
        <w:fldChar w:fldCharType="end"/>
      </w:r>
      <w:r>
        <w:rPr>
          <w:rFonts w:ascii="Times New Roman" w:hAnsi="Times New Roman" w:eastAsia="Times New Roman" w:cs="Times New Roman"/>
          <w:sz w:val="24"/>
          <w:szCs w:val="24"/>
        </w:rPr>
        <w:t>.</w:t>
      </w:r>
      <w:r>
        <w:rPr>
          <w:rFonts w:ascii="Times New Roman" w:hAnsi="Times New Roman" w:cs="Times New Roman"/>
          <w:sz w:val="24"/>
          <w:szCs w:val="24"/>
          <w:shd w:val="clear" w:color="auto" w:fill="FFFFFF"/>
        </w:rPr>
        <w:t xml:space="preserve"> Because of its simplicity, consistency, comprehensibility, and sensitivity to minute changes in pain levels, the numerical rating scale will be employed in this investigation. The pain scale rates on a scale of 0 to 10, with 0 representing "no pain" and 10 representing "the worst suffering possible." The number that best depicts the pain component, typically intensity, is chosen (verbally) by the patient, or a circle is drawn around it. </w:t>
      </w:r>
      <w:r>
        <w:rPr>
          <w:rFonts w:ascii="Times New Roman" w:hAnsi="Times New Roman" w:cs="Times New Roman"/>
          <w:sz w:val="24"/>
          <w:szCs w:val="24"/>
        </w:rPr>
        <w:t>The suitable patient's developmental, physical, emotional, and cognitive level are taken into consideration while choosing the pain scale to be used.</w:t>
      </w:r>
    </w:p>
    <w:p>
      <w:pPr>
        <w:spacing w:before="100" w:beforeAutospacing="1" w:after="100" w:afterAutospacing="1"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Further, the needs of the patient and the pain management team should also be catered to. In keeping with that, it is advised that patients who are unable to communicate, such as those who are cognitively impaired, the severely emotionally disturbed, children, those who do not speak the local language, and those whose education levels or cultural backgrounds differ significantly from those of the healthcare team, require special attention.</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 xml:space="preserve">ADDIN CSL_CITATION {"citationItems":[{"id":"ITEM-1","itemData":{"DOI":"10.17712/nsj.2015.2.20140546","ISSN":"13196138","PMID":"25864065","abstract":"Objective: To present data on knowledge and attitudes toward pain assessment among health care providers in Almadinah Almunawwarah, Saudi Arabia. Methods: This exploratory study required at least 100 participants to attain an effect size of 0.2 or larger. A convenience sample was recruited from the major hospitals in Almadinah Almunawwarah, Saudi Arabia; King Fahad Hospital, Ohud Hospital, Alansar Hospital, Almeqat Hospital, and the Maternity Hospital. Data collection occurred between January and April 2014. Knowledge of pain assessment was examined by administering the Knowledge and Attitudes Survey Regarding Pain. Results: Data from 105 participants was collected. Seventy-three participants scored 44% or below (69.5%), and 32 participants scored 45% and above (30.5%). Additionally, only 6 participants (5.7%) scored above 60%. There were significant differences between male and female scores (p=0.05), physicians’ and nurses’ scores (p=0.001), and level of education (p=0.009). There were no significant differences in the passing scores across means of nationality, the department where participants worked, years of experience, and age of participants. Conclusion: There is a deficit in pain assessment knowledge, and pain management in the study group. Continuous education on pain assessment is required to increase the health care providers’ knowledge, and enhance their practices regarding pain assessment and treatment.","author":[{"dropping-particle":"","family":"Al-Quliti","given":"Khalid W.","non-dropping-particle":"","parse-names":false,"suffix":""},{"dropping-particle":"","family":"Alamri","given":"Majed S.","non-dropping-particle":"","parse-names":false,"suffix":""}],"container-title":"Neurosciences","id":"ITEM-1","issue":"2","issued":{"date-parts":[["2015"]]},"page":"131-136","title":"Knowledge, attitudes, and practices of health care providers in Almadinah Almunawwarah, Saudi Arabia","type":"article-journal","volume":"20"},"uris":["http://www.mendeley.com/documents/?uuid=2230e7ec-ed87-4711-985e-53a4e8b1e266"]}],"mendeley":{"formattedCitation":"(Al-Quliti &amp; Alamri, 2015)","plainTextFormattedCitation":"(Al-Quliti &amp; Alamri, 2015)","previouslyFormattedCitation":"(Al-Quliti &amp; Alamri, 2015)"},"properties":{"noteIndex":0},"schema":"https://github.com/citation-style-language/schema/raw/master/csl-citation.json"}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sz w:val="24"/>
          <w:szCs w:val="24"/>
        </w:rPr>
        <w:t>(Al-Quliti &amp; Alamri, 2015)</w:t>
      </w:r>
      <w:r>
        <w:rPr>
          <w:rFonts w:ascii="Times New Roman" w:hAnsi="Times New Roman" w:cs="Times New Roman"/>
          <w:bCs/>
          <w:sz w:val="24"/>
          <w:szCs w:val="24"/>
        </w:rPr>
        <w:fldChar w:fldCharType="end"/>
      </w:r>
      <w:r>
        <w:rPr>
          <w:rFonts w:ascii="Times New Roman" w:hAnsi="Times New Roman" w:eastAsia="Times New Roman" w:cs="Times New Roman"/>
          <w:bCs/>
          <w:sz w:val="24"/>
          <w:szCs w:val="24"/>
        </w:rPr>
        <w:t xml:space="preserve">. </w:t>
      </w:r>
    </w:p>
    <w:p>
      <w:pPr>
        <w:autoSpaceDE w:val="0"/>
        <w:autoSpaceDN w:val="0"/>
        <w:adjustRightInd w:val="0"/>
        <w:spacing w:before="100" w:beforeAutospacing="1" w:after="100" w:afterAutospacing="1" w:line="480" w:lineRule="auto"/>
        <w:ind w:firstLine="720"/>
        <w:jc w:val="both"/>
        <w:rPr>
          <w:rFonts w:ascii="Times New Roman" w:hAnsi="Times New Roman" w:cs="Times New Roman"/>
          <w:sz w:val="24"/>
          <w:szCs w:val="24"/>
          <w:shd w:val="clear" w:color="auto" w:fill="FFFFFF"/>
          <w:lang w:val="fr-FR"/>
        </w:rPr>
      </w:pPr>
      <w:r>
        <w:rPr>
          <w:rFonts w:ascii="Times New Roman" w:hAnsi="Times New Roman" w:cs="Times New Roman"/>
          <w:sz w:val="24"/>
          <w:szCs w:val="24"/>
          <w:shd w:val="clear" w:color="auto" w:fill="FFFFFF"/>
        </w:rPr>
        <w:t xml:space="preserve">Since pain is a subjective experience, it is important to tailor patients' responses to it for the best possible results. </w:t>
      </w:r>
      <w:r>
        <w:rPr>
          <w:rFonts w:ascii="Times New Roman" w:hAnsi="Times New Roman" w:cs="Times New Roman"/>
          <w:bCs/>
          <w:sz w:val="24"/>
          <w:szCs w:val="24"/>
          <w:shd w:val="clear" w:color="auto" w:fill="FFFFFF"/>
        </w:rPr>
        <w:fldChar w:fldCharType="begin" w:fldLock="1"/>
      </w:r>
      <w:r>
        <w:rPr>
          <w:rFonts w:ascii="Times New Roman" w:hAnsi="Times New Roman" w:cs="Times New Roman"/>
          <w:bCs/>
          <w:sz w:val="24"/>
          <w:szCs w:val="24"/>
          <w:shd w:val="clear" w:color="auto" w:fill="FFFFFF"/>
        </w:rPr>
        <w:instrText xml:space="preserve">ADDIN CSL_CITATION {"citationItems":[{"id":"ITEM-1","itemData":{"DOI":"10.1155/2019/9091467","ISSN":"2090-1429","abstract":" Background. Postoperative pain remains one of the greatest concerns for patients following surgical procedures. Nurses play an essential role in postoperative pain assessment and management, especially within the first few days after surgery. Objective. The study investigated how nurses in a resource-constraint hospital in Ghana assessed and managed postoperative pain. Methods. This was an explorative qualitative study involving 12 registered nurses practising in the largest referral hospital in Ghana. Data was gathered using a semistructured interview guide. Demographic characteristics of participants were summarized using descriptive statistics. Data were analysed using Kvale’s three phases for analysing qualitative data. First, the entire text was read again to identify meaning units which were then condensed. Second, the condensed texts were read again and interpreted. Finally, the condensed data containing similar meaning were coded and then sorted into subthemes. Results. It was found that some nurses have never used any pain assessment tool due to lack of standard tool for assessing postoperative pain. The majority of nurses reported that managing pain by using medication was the norm especially in the first 24 hours after surgery. Conclusion. Although participants may have some knowledge of assessing and managing postoperative pain, this knowledge was not largely used to manage postoperative pain effectively, partly because of resource constraints. Therefore, there is the need for adequate training and with provision of resources, it is imperative that the use of standardized pain assessment scales could help in the proper assessment and management of postoperative pain in this setting. ","author":[{"dropping-particle":"","family":"Mahama","given":"Faisal","non-dropping-particle":"","parse-names":false,"suffix":""},{"dropping-particle":"","family":"Ninnoni","given":"Jerry P. K.","non-dropping-particle":"","parse-names":false,"suffix":""}],"container-title":"Nursing Research and Practice","id":"ITEM-1","issued":{"date-parts":[["2019"]]},"page":"1-7","title":"Assessment and Management of Postoperative Pain among Nurses at a Resource-Constraint Teaching Hospital in Ghana","type":"article-journal","volume":"2019"},"uris":["http://www.mendeley.com/documents/?uuid=913ba63c-f6cb-436f-815a-cfce17096014"]}],"mendeley":{"formattedCitation":"(Mahama &amp; Ninnoni, 2019)","plainTextFormattedCitation":"(Mahama &amp; Ninnoni, 2019)","previouslyFormattedCitation":"(Mahama &amp; Ninnoni, 2019)"},"properties":{"noteIndex":0},"schema":"https://github.com/citation-style-language/schema/raw/master/csl-citation.json"}</w:instrText>
      </w:r>
      <w:r>
        <w:rPr>
          <w:rFonts w:ascii="Times New Roman" w:hAnsi="Times New Roman" w:cs="Times New Roman"/>
          <w:bCs/>
          <w:sz w:val="24"/>
          <w:szCs w:val="24"/>
          <w:shd w:val="clear" w:color="auto" w:fill="FFFFFF"/>
        </w:rPr>
        <w:fldChar w:fldCharType="separate"/>
      </w:r>
      <w:r>
        <w:rPr>
          <w:rFonts w:ascii="Times New Roman" w:hAnsi="Times New Roman" w:cs="Times New Roman"/>
          <w:bCs/>
          <w:sz w:val="24"/>
          <w:szCs w:val="24"/>
          <w:shd w:val="clear" w:color="auto" w:fill="FFFFFF"/>
        </w:rPr>
        <w:t>(Mahama &amp; Ninnoni, 2019)</w:t>
      </w:r>
      <w:r>
        <w:rPr>
          <w:rFonts w:ascii="Times New Roman" w:hAnsi="Times New Roman" w:cs="Times New Roman"/>
          <w:bCs/>
          <w:sz w:val="24"/>
          <w:szCs w:val="24"/>
          <w:shd w:val="clear" w:color="auto" w:fill="FFFFFF"/>
        </w:rPr>
        <w:fldChar w:fldCharType="end"/>
      </w:r>
      <w:r>
        <w:rPr>
          <w:rFonts w:ascii="Times New Roman" w:hAnsi="Times New Roman" w:cs="Times New Roman"/>
          <w:bCs/>
          <w:sz w:val="24"/>
          <w:szCs w:val="24"/>
          <w:shd w:val="clear" w:color="auto" w:fill="FFFFFF"/>
        </w:rPr>
        <w:t>.</w:t>
      </w:r>
      <w:r>
        <w:rPr>
          <w:rFonts w:ascii="Times New Roman" w:hAnsi="Times New Roman" w:cs="Times New Roman"/>
          <w:sz w:val="24"/>
          <w:szCs w:val="24"/>
          <w:shd w:val="clear" w:color="auto" w:fill="FFFFFF"/>
        </w:rPr>
        <w:t xml:space="preserve"> The core and fundamental components of managing the complex experience are established by the concepts connected to post-operative pain assessment and management. Regular assessments of pain severity and the impact of interventions are the nurse's job throughout post-operative pain management.</w:t>
      </w:r>
      <w:r>
        <w:rPr>
          <w:rFonts w:ascii="Times New Roman" w:hAnsi="Times New Roman" w:cs="Times New Roman"/>
          <w:sz w:val="24"/>
          <w:szCs w:val="24"/>
          <w:shd w:val="clear" w:color="auto" w:fill="FFFFFF"/>
        </w:rPr>
        <w:fldChar w:fldCharType="begin" w:fldLock="1"/>
      </w:r>
      <w:r>
        <w:rPr>
          <w:rFonts w:ascii="Times New Roman" w:hAnsi="Times New Roman" w:cs="Times New Roman"/>
          <w:sz w:val="24"/>
          <w:szCs w:val="24"/>
          <w:shd w:val="clear" w:color="auto" w:fill="FFFFFF"/>
        </w:rPr>
        <w:instrText xml:space="preserve">ADDIN CSL_CITATION {"citationItems":[{"id":"ITEM-1","itemData":{"DOI":"10.15761/bhc.1000148","ISBN":"3026103691","author":[{"dropping-particle":"","family":"N","given":"Bakalis","non-dropping-particle":"","parse-names":false,"suffix":""},{"dropping-particle":"","family":"G","given":"Vescio","non-dropping-particle":"","parse-names":false,"suffix":""},{"dropping-particle":"","family":"M","given":"Chounti","non-dropping-particle":"","parse-names":false,"suffix":""},{"dropping-particle":"","family":"E","given":"Michalopoulou","non-dropping-particle":"","parse-names":false,"suffix":""},{"dropping-particle":"","family":"P","given":"Kiekkas","non-dropping-particle":"","parse-names":false,"suffix":""},{"dropping-particle":"","family":"A","given":"Rizzuto","non-dropping-particle":"","parse-names":false,"suffix":""},{"dropping-particle":"","family":"M","given":"Papandrea","non-dropping-particle":"","parse-names":false,"suffix":""},{"dropping-particle":"","family":"G","given":"Sena","non-dropping-particle":"","parse-names":false,"suffix":""},{"dropping-particle":"","family":"A","given":"Barberio","non-dropping-particle":"","parse-names"</w:instrText>
      </w:r>
      <w:r>
        <w:rPr>
          <w:rFonts w:ascii="Times New Roman" w:hAnsi="Times New Roman" w:cs="Times New Roman"/>
          <w:sz w:val="24"/>
          <w:szCs w:val="24"/>
          <w:shd w:val="clear" w:color="auto" w:fill="FFFFFF"/>
          <w:lang w:val="fr-FR"/>
        </w:rPr>
        <w:instrText xml:space="preserve">:false,"suffix":""},{"dropping-particle":"","family":"V","given":"Tiesi","non-dropping-particle":"","parse-names":false,"suffix":""},{"dropping-particle":"","family":"D","given":"Gambardella","non-dropping-particle":"","parse-names":false,"suffix":""},{"dropping-particle":"","family":"G","given":"Gallo","non-dropping-particle":"","parse-names":false,"suffix":""},{"dropping-particle":"","family":"G","given":"Curro","non-dropping-particle":"","parse-names":false,"suffix":""},{"dropping-particle":"","family":"M","given":"Ammendola","non-dropping-particle":"","parse-names":false,"suffix":""},{"dropping-particle":"","family":"S","given":"De Franciscis","non-dropping-particle":"","parse-names":false,"suffix":""},{"dropping-particle":"","family":"N","given":"Filiotis","non-dropping-particle":"","parse-names":false,"suffix":""}],"container-title":"Blood, Heart and Circulation","id":"ITEM-1","issue":"4","issued":{"date-parts":[["2018"]]},"page":"1-7","title":"Nursing assessment of post-operative pain in patients undergoing general (thoracic) surgery","type":"article-journal","volume":"2"},"uris":["http://www.mendeley.com/documents/?uuid=34075ce9-2c83-4ecf-b4d2-7c49249c82f7"]}],"mendeley":{"formattedCitation":"(N et al., 2018)","manualFormatting":"(Bakalis et al., 2018)","plainTextFormattedCitation":"(N et al., 2018)","previouslyFormattedCitation":"(N et al., 2018)"},"properties":{"noteIndex":0},"schema":"https://github.com/citation-style-language/schema/raw/master/csl-citation.json"}</w:instrText>
      </w:r>
      <w:r>
        <w:rPr>
          <w:rFonts w:ascii="Times New Roman" w:hAnsi="Times New Roman" w:cs="Times New Roman"/>
          <w:sz w:val="24"/>
          <w:szCs w:val="24"/>
          <w:shd w:val="clear" w:color="auto" w:fill="FFFFFF"/>
        </w:rPr>
        <w:fldChar w:fldCharType="separate"/>
      </w:r>
      <w:r>
        <w:rPr>
          <w:rFonts w:ascii="Times New Roman" w:hAnsi="Times New Roman" w:cs="Times New Roman"/>
          <w:sz w:val="24"/>
          <w:szCs w:val="24"/>
          <w:shd w:val="clear" w:color="auto" w:fill="FFFFFF"/>
          <w:lang w:val="fr-FR"/>
        </w:rPr>
        <w:t>(Bakalis et al., 2018</w:t>
      </w:r>
      <w:r>
        <w:rPr>
          <w:rFonts w:ascii="Times New Roman" w:hAnsi="Times New Roman" w:cs="Times New Roman"/>
          <w:sz w:val="24"/>
          <w:szCs w:val="24"/>
          <w:shd w:val="clear" w:color="auto" w:fill="FFFFFF"/>
        </w:rPr>
        <w:fldChar w:fldCharType="end"/>
      </w:r>
      <w:r>
        <w:rPr>
          <w:rFonts w:ascii="Times New Roman" w:hAnsi="Times New Roman" w:cs="Times New Roman"/>
          <w:sz w:val="24"/>
          <w:szCs w:val="24"/>
          <w:lang w:val="fr-FR"/>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lang w:val="fr-FR"/>
        </w:rPr>
        <w:instrText xml:space="preserve">ADDIN CSL_CITATION {"citationItems":[{"id":"ITEM-1","itemData":{"DOI":"10.1136/qshc.2004.010330","ISSN":"14753898","PMID":"16195565","abstract":"Problem: There is a need to improve postoperative pain organisation and management in hospitals. One of the most important factors in achieving this is to improve active assessment of pain in the postoperative phase. Design: Repeated audits on an annual basis over a 3 year period. Ward nurses, appointed as \"pain control representatives\", performed the data collection. Setting: Departments of general surgery and orthopaedics in a university hospital with 1200 beds. Key measure for improvement: Assessment of postoperative pain intensity using a numerical rating scale. Strategies for change: On the basis of the first audit in 1999 the team decided to introduce a mandatory training programme in postoperative pain management for all involved staff, including surgeons and ward nurses. Guidelines for postoperative care were upgraded and made accessible through the intranet. Regular staff meetings in the surgical wards with representatives from the acute pain service team were introduced. Effects of change: The assessment of pain according to protocols increased from 71% to 91% in the surgical wards and from 60% to 88% in the orthopaedic wards between 1999 and 2001/2. Lessons learnt: To increase the awareness of pain and improve pain assessment, the importance of mandatory training, regular staff meetings and regular audits must be emphasised. It is also imperative to give feedback on the regular audits to the ward and staff members involved.","author":[{"dropping-particle":"","family":"Karlsten","given":"R.","non-dropping-particle":"","parse-names":false,"suffix":""},{"dropping-particle":"","family":"Ström","given":"K.","non-dropping-particle":"","parse-names":false,"suffix":""},{"dropping-particle":"","family":"Gunningberg","given":"L.","non-dropping-particle":"","parse-names":false,"suffix":""}],"container-title":"Quality and Safety in Health Care","id":"ITEM-1","issue":"5","issued":{"date-parts":[["2005"]]},"page":"332-335","title":"Improving assessment of postoperative pain in surgical wards by education and training","type":"article-journal","volume":"14"},"uris":["http://www.mendeley.com/documents/?uuid=28c78536-e8f3-46a2-af46-26e0e5d842a5"]}],"mendeley":{"formattedCitation":"(Karlsten et al., 2005)","plainTextFormattedCitation":"(Karlsten et al., 2005)","previouslyFormattedCitation":"(Karlsten et al., 2005)"},"properties":{"noteIndex":0},"schema":"https://github.com/citation-style-language/schema/raw/master/csl-citation.json"}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lang w:val="fr-FR"/>
        </w:rPr>
        <w:t>&amp; Karlsten et al., 2005)</w:t>
      </w:r>
      <w:r>
        <w:rPr>
          <w:rFonts w:ascii="Times New Roman" w:hAnsi="Times New Roman" w:cs="Times New Roman"/>
          <w:sz w:val="24"/>
          <w:szCs w:val="24"/>
        </w:rPr>
        <w:fldChar w:fldCharType="end"/>
      </w:r>
      <w:r>
        <w:rPr>
          <w:rFonts w:ascii="Times New Roman" w:hAnsi="Times New Roman" w:cs="Times New Roman"/>
          <w:sz w:val="24"/>
          <w:szCs w:val="24"/>
          <w:shd w:val="clear" w:color="auto" w:fill="FFFFFF"/>
          <w:lang w:val="fr-FR"/>
        </w:rPr>
        <w:t>.</w:t>
      </w:r>
    </w:p>
    <w:p>
      <w:pPr>
        <w:autoSpaceDE w:val="0"/>
        <w:autoSpaceDN w:val="0"/>
        <w:adjustRightInd w:val="0"/>
        <w:spacing w:before="100" w:beforeAutospacing="1" w:after="100" w:afterAutospacing="1" w:line="480" w:lineRule="auto"/>
        <w:ind w:firstLine="720"/>
        <w:jc w:val="both"/>
        <w:rPr>
          <w:rFonts w:ascii="Times New Roman" w:hAnsi="Times New Roman" w:cs="Times New Roman"/>
          <w:bCs/>
          <w:sz w:val="24"/>
          <w:szCs w:val="24"/>
        </w:rPr>
      </w:pPr>
      <w:r>
        <w:rPr>
          <w:rFonts w:ascii="Times New Roman" w:hAnsi="Times New Roman" w:cs="Times New Roman"/>
          <w:sz w:val="24"/>
          <w:szCs w:val="24"/>
          <w:shd w:val="clear" w:color="auto" w:fill="FFFFFF"/>
          <w:lang w:val="fr-FR"/>
        </w:rPr>
        <w:t>Inline, pain is evaluated when the subject is at rest and while moving, whilst vital signs, verbalization, and body language are crucial in the assessment of pain</w:t>
      </w:r>
      <w:r>
        <w:rPr>
          <w:rFonts w:ascii="Times New Roman" w:hAnsi="Times New Roman" w:cs="Times New Roman"/>
          <w:bCs/>
          <w:sz w:val="24"/>
          <w:szCs w:val="24"/>
          <w:shd w:val="clear" w:color="auto" w:fill="FFFFFF"/>
        </w:rPr>
        <w:fldChar w:fldCharType="begin" w:fldLock="1"/>
      </w:r>
      <w:r>
        <w:rPr>
          <w:rFonts w:ascii="Times New Roman" w:hAnsi="Times New Roman" w:cs="Times New Roman"/>
          <w:bCs/>
          <w:sz w:val="24"/>
          <w:szCs w:val="24"/>
          <w:shd w:val="clear" w:color="auto" w:fill="FFFFFF"/>
          <w:lang w:val="fr-FR"/>
        </w:rPr>
        <w:instrText xml:space="preserve">ADDIN CSL_CITATION {"citationItems":[{"id":"ITEM-1","itemData":{"DOI":"10.1155/2019/9091467","ISSN":"2090-1429","abstract":" Background. Postoperative pain remains one of the greatest concerns for patients following surgical procedures. Nurses play an essential role in postoperative pain assessment and management, especially within the first few days after surgery. Objective. The study investigated how nurses in a resource-constraint hospital in Ghana assessed and managed postoperative pain. Methods. This was an explorative qualitative study involving 12 registered nurses practising in the largest referral hospital in Ghana. Data was gathered using a semistructured interview guide. Demographic characteristics of participants were summarized using descriptive statistics. Data were analysed using Kvale’s three phases for analysing qualitative data. First, the entire text was read again to identify meaning units which were then condensed. Second, the condensed texts were read again and interpreted. Finally, the condensed data containing similar meaning were coded and then sorted into subthemes. Results. It was found that some nurses have never used any pain assessment tool due to lack of standard tool for assessing postoperative pain. The majority of nurses reported that managing pain by using medication was the norm especially in the first 24 hours after surgery. Conclusion. Although participants may have some knowledge of assessing and managing postoperative pain, this knowledge was not largely used to manage postoperative pain effectively, partly because of resource constraints. Therefore, there is the need for adequate training and with provision of resources, it is imperative that the use of standardized pain assessment scales could help in the proper assessment and management of postoperative pain in this setting. ","author":[{"dropping-particle":"","family":"Mahama","given":"Faisal","non-dropping-particle":"","parse-names":false,"suffix":""},{"dropping-particle":"","family":"Ninnoni","given":"Jerry P. K.","non-dropping-particle":"","parse-names":false,"suffix":""}],"container-title":"Nursing Research and Practice","id":"ITEM-1","issued":{"date-parts":[["2019"]]},"page":"1-7","title":"Assessment and Management of Postoperative Pain among Nurses at a Resource-Constraint Teaching Hospital in Ghana","type":"article-journal","volume":"2019"},"uris":["http://www.mendeley.com/documents/?uuid=913ba63c-f6cb-436f-815a-cfce17096014"]}],"mendeley":{"formattedCitation":"(Mahama &amp; Ninnoni, 2019)","plainTextFormattedCitation":"(Mahama &amp; Ninnoni, 2019)","previouslyFormattedCitation":"(Mahama &amp; Ninnoni, 2019)"},"properties":{"noteIndex":0},"schema":"https://github.com/citation-style-language/schema/raw/master/csl-citation.json"}</w:instrText>
      </w:r>
      <w:r>
        <w:rPr>
          <w:rFonts w:ascii="Times New Roman" w:hAnsi="Times New Roman" w:cs="Times New Roman"/>
          <w:bCs/>
          <w:sz w:val="24"/>
          <w:szCs w:val="24"/>
          <w:shd w:val="clear" w:color="auto" w:fill="FFFFFF"/>
        </w:rPr>
        <w:fldChar w:fldCharType="separate"/>
      </w:r>
      <w:r>
        <w:rPr>
          <w:rFonts w:ascii="Times New Roman" w:hAnsi="Times New Roman" w:cs="Times New Roman"/>
          <w:bCs/>
          <w:sz w:val="24"/>
          <w:szCs w:val="24"/>
          <w:shd w:val="clear" w:color="auto" w:fill="FFFFFF"/>
          <w:lang w:val="fr-FR"/>
        </w:rPr>
        <w:t>(Mahama &amp; Ninnoni, 2019)</w:t>
      </w:r>
      <w:r>
        <w:rPr>
          <w:rFonts w:ascii="Times New Roman" w:hAnsi="Times New Roman" w:cs="Times New Roman"/>
          <w:bCs/>
          <w:sz w:val="24"/>
          <w:szCs w:val="24"/>
          <w:shd w:val="clear" w:color="auto" w:fill="FFFFFF"/>
        </w:rPr>
        <w:fldChar w:fldCharType="end"/>
      </w:r>
      <w:r>
        <w:rPr>
          <w:rFonts w:ascii="Times New Roman" w:hAnsi="Times New Roman" w:cs="Times New Roman"/>
          <w:sz w:val="24"/>
          <w:szCs w:val="24"/>
          <w:shd w:val="clear" w:color="auto" w:fill="FFFFFF"/>
          <w:lang w:val="fr-FR"/>
        </w:rPr>
        <w:t xml:space="preserve">. </w:t>
      </w:r>
      <w:r>
        <w:rPr>
          <w:rFonts w:ascii="Times New Roman" w:hAnsi="Times New Roman" w:cs="Times New Roman"/>
          <w:sz w:val="24"/>
          <w:szCs w:val="24"/>
          <w:shd w:val="clear" w:color="auto" w:fill="FFFFFF"/>
        </w:rPr>
        <w:t>Examining nurses' post-operative pain management knowledge, attitudes, and practices is therefore crucial to building the groundwork for better management strategies, assuring patient comfort, and completely improving nursing practice.</w:t>
      </w:r>
      <w:r>
        <w:rPr>
          <w:rFonts w:ascii="Times New Roman" w:hAnsi="Times New Roman" w:cs="Times New Roman"/>
          <w:sz w:val="24"/>
          <w:szCs w:val="24"/>
        </w:rPr>
        <w:t xml:space="preserve"> According to Masigati &amp; Chilonga (2014) assessing pain entails identifying a variety of aspects of pain, including its type, its intensity, and how long it lasts. The institutions should arrange trainings and workshops on post-operative pain management for staff nurses to improve pain evaluation and management.</w:t>
      </w:r>
    </w:p>
    <w:p>
      <w:pPr>
        <w:spacing w:before="100" w:beforeAutospacing="1" w:after="100" w:afterAutospacing="1" w:line="480" w:lineRule="auto"/>
        <w:ind w:firstLine="720"/>
        <w:jc w:val="both"/>
        <w:rPr>
          <w:rFonts w:ascii="Times New Roman" w:hAnsi="Times New Roman" w:cs="Times New Roman"/>
          <w:sz w:val="24"/>
          <w:szCs w:val="24"/>
        </w:rPr>
      </w:pPr>
      <w:r>
        <w:rPr>
          <w:rFonts w:ascii="Times New Roman" w:hAnsi="Times New Roman" w:cs="Times New Roman"/>
          <w:sz w:val="24"/>
          <w:szCs w:val="24"/>
        </w:rPr>
        <w:t>Routinely, in the first 24hours, pain is managed by giving opioids such as morphine or pethidine injections every 6 to 8 hours respectively. Consequently, non-steroidal anti-inflammatory medications, such as ibuprofen 400mg, diclofenac 75mg 8hourly and non-pharmacological measures like physical exercises such as ambulation, listening to music, imaginary, positioning in bed post-operatively, distraction method and massaging are introduced. Because of its quick start of action and ability to greatly provide extra sparing opioid impact, intravenous paracetamol is commonly utilized in the management of post-operative pain (Mahama &amp; Ninnoni, 2019; Kiswezi, Masiira &amp; Mugisa, 2014; Chatchumni, 2016). Despite all of the aforementioned steps, it was never stated that pain evaluation was a part of management.</w:t>
      </w:r>
    </w:p>
    <w:p>
      <w:pPr>
        <w:spacing w:before="100" w:beforeAutospacing="1" w:after="100" w:afterAutospacing="1" w:line="480" w:lineRule="auto"/>
        <w:ind w:firstLine="720"/>
        <w:jc w:val="both"/>
        <w:rPr>
          <w:rFonts w:ascii="Times New Roman" w:hAnsi="Times New Roman" w:cs="Times New Roman"/>
          <w:bCs/>
          <w:sz w:val="24"/>
          <w:szCs w:val="24"/>
        </w:rPr>
      </w:pPr>
      <w:r>
        <w:rPr>
          <w:rFonts w:ascii="Times New Roman" w:hAnsi="Times New Roman" w:cs="Times New Roman"/>
          <w:sz w:val="24"/>
          <w:szCs w:val="24"/>
        </w:rPr>
        <w:t xml:space="preserve">The World Health Organization (2018) and the American Pain Society propose using a step ladder to treat post-operative pain, with the pain evaluation scale serving as a reference. The doctors' post-operative pain medication is tapered (start with the strongest painkillers, then reduce to mild ones till patient discharge): usually on the first day post operatively they begin with strong opioids in injectable form to kill the acute pain thus offering a rapid relief. Then on the second day post operatively (48hr) the doctors prescribe non-opioid, multimodal analgesics, and adjuvants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 xml:space="preserve">ADDIN CSL_CITATION {"citationItems":[{"id":"ITEM-1","itemData":{"DOI":"10.1155/2019/9091467","ISSN":"2090-1429","abstract":" Background. Postoperative pain remains one of the greatest concerns for patients following surgical procedures. Nurses play an essential role in postoperative pain assessment and management, especially within the first few days after surgery. Objective. The study investigated how nurses in a resource-constraint hospital in Ghana assessed and managed postoperative pain. Methods. This was an explorative qualitative study involving 12 registered nurses practising in the largest referral hospital in Ghana. Data was gathered using a semistructured interview guide. Demographic characteristics of participants were summarized using descriptive statistics. Data were analysed using Kvale’s three phases for analysing qualitative data. First, the entire text was read again to identify meaning units which were then condensed. Second, the condensed texts were read again and interpreted. Finally, the condensed data containing similar meaning were coded and then sorted into subthemes. Results. It was found that some nurses have never used any pain assessment tool due to lack of standard tool for assessing postoperative pain. The majority of nurses reported that managing pain by using medication was the norm especially in the first 24 hours after surgery. Conclusion. Although participants may have some knowledge of assessing and managing postoperative pain, this knowledge was not largely used to manage postoperative pain effectively, partly because of resource constraints. Therefore, there is the need for adequate training and with provision of resources, it is imperative that the use of standardized pain assessment scales could help in the proper assessment and management of postoperative pain in this setting. ","author":[{"dropping-particle":"","family":"Mahama","given":"Faisal","non-dropping-particle":"","parse-names":false,"suffix":""},{"dropping-particle":"","family":"Ninnoni","given":"Jerry P. K.","non-dropping-particle":"","parse-names":false,"suffix":""}],"container-title":"Nursing Research and Practice","id":"ITEM-1","issued":{"date-parts":[["2019"]]},"page":"1-7","title":"Assessment and Management of Postoperative Pain among Nurses at a Resource-Constraint Teaching Hospital in Ghana","type":"article-journal","volume":"2019"},"uris":["http://www.mendeley.com/documents/?uuid=913ba63c-f6cb-436f-815a-cfce17096014"]}],"mendeley":{"formattedCitation":"(Mahama &amp; Ninnoni, 2019)","plainTextFormattedCitation":"(Mahama &amp; Ninnoni, 2019)","previouslyFormattedCitation":"(Mahama &amp; Ninnoni, 2019)"},"properties":{"noteIndex":0},"schema":"https://github.com/citation-style-language/schema/raw/master/csl-citation.json"}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sz w:val="24"/>
          <w:szCs w:val="24"/>
        </w:rPr>
        <w:t>(Mahama &amp; Ninnoni, 2019</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 xml:space="preserve">ADDIN CSL_CITATION {"citationItems":[{"id":"ITEM-1","itemData":{"ISBN":"9789174852721","abstract":"Patients’ recovery after surgery is one of the most important health processes in planned hospital healthcare and has a direct impact on welfare and welfare systems. Therefore, what nurses do in the im- mediate postoperative period is of vital importance.","author":[{"dropping-particle":"","family":"Chatchumni","given":"Manaporn","non-dropping-particle":"","parse-names":false,"suffix":""}],"container-title":"current situation and challenges within nursingpractice in the Thai context(Doctoral dissertition malardalen University","id":"ITEM-1","issue":"204","issued":{"date-parts":[["2016"]]},"title":"Post-Operative Pain Management Practice","type":"book"},"uris":["http://www.mendeley.com/documents/?uuid=76acb751-3803-4a58-9214-b6781237e8d5"]}],"mendeley":{"formattedCitation":"(Chatchumni, 2016)","plainTextFormattedCitation":"(Chatchumni, 2016)","previouslyFormattedCitation":"(Chatchumni, 2016)"},"properties":{"noteIndex":0},"schema":"https://github.com/citation-style-language/schema/raw/master/csl-citation.json"}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sz w:val="24"/>
          <w:szCs w:val="24"/>
        </w:rPr>
        <w:t>Chatchumni, 2016)</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p>
    <w:p>
      <w:pPr>
        <w:spacing w:before="100" w:beforeAutospacing="1" w:after="100" w:afterAutospacing="1"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Surprisingly,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{"citationItems":[{"id":"ITEM-1","iteused or"ISSN":"17915201","abstract":"Background: At the postoperative period, postoperative pain one of the most important patient complains is an acute pain starting with surgical trauma, lessening gradually and ending by the tissue recovery. The essential aim in nursing care of postoperative pain is to do patient assessment with nursing approachess. Furthermore pharmacologic and non-pharmacologic nursing interventions that included individual plan are to implementation and evaluation. Purpose: The purpose of this literature review which non-pharmacological methods can be used by nurses to cope with post-operative pain in Turkey. Method: The databases of Turkish Medical Index, Google Akademik, YOK Thesis Search, Pubmed, Google Scholar, EBSCO Host, Web of Science were scanned to reach the studies. It was determined that 35 studies were in conformity with the inclusion criteria. Findings: In postoperative pain control, nonpharmacologic pain control methods can be used to increase the effect of analgesics, in case of insufficient effect of analgesics, or when analgesics cannot be used. Among nonpharmacologic postoperative pain control methods, transcutaneous nerve stimulation, application of hot and/or cold compresses, relaxation exercises, music therapy, massage, reflexology, aromatherapy rarely used in postoperative pain control but hypnosis, reiki, yoga and acupuncture can not be implemented by nurses in Turkey. Conclusion: It is seen that majority of the studies conducted on nonpharmacologic methods in Turkey were masters or doctoral theses. These methods can not be performed by nurses working at the hospitals in Turkey. The reasons non-pharmacological methods were practiced less frequently by nurses were insufficient number of nurses, patients' reluctance about pain control, lack of time, and lack of information about pain control. In accordance with these results it is recommended to give more space for teaching the non-pharmacological methods that can be applied for pain management and legal regulations can be improved.","author":[{"dropping-particle":"","family":"Şimşek Yaban","given":"Züleyha","non-dropping-particle":"","parse-names":false,"suffix":""}],"container-title":"International Journal of Caring Sciences","id":"ITEM-1","issue":"1","issued":{"date-parts":[["2019"]]},"page":"529-541","title":"Usage of Non-Pharmacologic Methods on Postoperative Pain Management by Nurses: Sample of Turkey","type":"article-journal","volume":"12"},"uris":["http://www.mendeley.com/documents/?uuid=c8a1fee6-09ad-4323-ac98-b893366dc05d"]}],"mendeley":{"formattedCitation":"(Şimşek Yaban, 2019)","manualFormatting":"Şimşek Yaban (2019)","plainTextFormattedCitation":"(Şimşek Yaban, 2019)","previouslyFormattedCitation":"(Şimşek Yaban,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Şimşek Yaban (2019)</w:t>
      </w:r>
      <w:r>
        <w:rPr>
          <w:rFonts w:ascii="Times New Roman" w:hAnsi="Times New Roman" w:cs="Times New Roman"/>
          <w:sz w:val="24"/>
          <w:szCs w:val="24"/>
        </w:rPr>
        <w:fldChar w:fldCharType="end"/>
      </w:r>
      <w:r>
        <w:rPr>
          <w:rFonts w:ascii="Times New Roman" w:hAnsi="Times New Roman" w:cs="Times New Roman"/>
          <w:sz w:val="24"/>
          <w:szCs w:val="24"/>
        </w:rPr>
        <w:t xml:space="preserve"> in his study to review the work </w:t>
      </w:r>
      <w:r>
        <w:rPr>
          <w:rFonts w:ascii="Times New Roman" w:hAnsi="Times New Roman" w:cs="Times New Roman"/>
          <w:sz w:val="24"/>
          <w:szCs w:val="24"/>
          <w:shd w:val="clear" w:color="auto" w:fill="FFFFFF"/>
        </w:rPr>
        <w:t>post-operative pain management done by nurses in Turkey, found something nurses either haven't used at all or have used sparingly pharmacological methods  in  pain  management, and generally relied on physicians analgesic control in post-operative pain management where drugs are prioritized, unwilling to use non pharmacological measures being that they lack knowledge  about their application. Concurrently, patients are not given necessary information about post-operative pain control resulting in several patients thinking that postoperative pain is a   natural consequence of surgery. This has progressed to the point that extreme pain that prevents patients from falling asleep is no longer reported. Based on the above information, it’s wise to introduce a pain assessment scale to the post-operative nursing care thus improved pain control.</w:t>
      </w:r>
    </w:p>
    <w:p>
      <w:pPr>
        <w:spacing w:before="100" w:beforeAutospacing="1" w:after="100" w:afterAutospacing="1" w:line="480" w:lineRule="auto"/>
        <w:ind w:firstLine="720"/>
        <w:jc w:val="both"/>
        <w:textAlignment w:val="baseline"/>
        <w:rPr>
          <w:rFonts w:ascii="Times New Roman" w:hAnsi="Times New Roman" w:eastAsia="Times New Roman" w:cs="Times New Roman"/>
          <w:sz w:val="24"/>
          <w:szCs w:val="24"/>
        </w:rPr>
      </w:pPr>
      <w:r>
        <w:rPr>
          <w:rFonts w:ascii="Times New Roman" w:hAnsi="Times New Roman" w:cs="Times New Roman"/>
          <w:bCs/>
          <w:sz w:val="24"/>
          <w:szCs w:val="24"/>
        </w:rPr>
        <w:t>Barbara and Smith (2018) looked at 30 patients to assess post-operative pain after thoracic surgery and the relationship with demographic data as well as other parameters.</w:t>
      </w:r>
      <w:r>
        <w:rPr>
          <w:rFonts w:ascii="Times New Roman" w:hAnsi="Times New Roman" w:cs="Times New Roman"/>
          <w:sz w:val="24"/>
          <w:szCs w:val="24"/>
          <w:shd w:val="clear" w:color="auto" w:fill="FFFFFF"/>
        </w:rPr>
        <w:t xml:space="preserve"> They discovered that the advancement of the patient's pain relies on the recovery days following surgery (a drop was noted on the fifth and sixth day), as it showed a progressive reduction up to the day the patient was discharged.</w:t>
      </w:r>
      <w:r>
        <w:rPr>
          <w:rFonts w:ascii="Times New Roman" w:hAnsi="Times New Roman" w:eastAsia="Times New Roman" w:cs="Times New Roman"/>
          <w:sz w:val="24"/>
          <w:szCs w:val="24"/>
        </w:rPr>
        <w:t xml:space="preserve"> There was a reported lack of a recognized instrument to gauge post-operative discomfort felt by patients following thoracic surgery. We underline the importance of creating and using a suitable post-operative assessment questionnaire for these patients based on the findings of this study.</w:t>
      </w:r>
    </w:p>
    <w:p>
      <w:pPr>
        <w:shd w:val="clear" w:color="auto" w:fill="FFFFFF"/>
        <w:spacing w:before="100" w:beforeAutospacing="1" w:after="100" w:afterAutospacing="1" w:line="480" w:lineRule="auto"/>
        <w:ind w:firstLine="720"/>
        <w:jc w:val="both"/>
        <w:rPr>
          <w:rFonts w:ascii="Times New Roman" w:hAnsi="Times New Roman" w:eastAsia="Times New Roman" w:cs="Times New Roman"/>
          <w:color w:val="000000"/>
          <w:sz w:val="24"/>
          <w:szCs w:val="24"/>
        </w:rPr>
      </w:pPr>
      <w:r>
        <w:rPr>
          <w:rFonts w:ascii="Times New Roman" w:hAnsi="Times New Roman" w:cs="Times New Roman"/>
          <w:sz w:val="24"/>
          <w:szCs w:val="24"/>
        </w:rPr>
        <w:t>Eriksson (2017) conducted a thesis based on four research to analyze if pain ratings might be used to represent and forecast early physical post-operative recovery and to explain patients' perceptions on pain assessments.</w:t>
      </w:r>
      <w:r>
        <w:rPr>
          <w:rFonts w:ascii="Times New Roman" w:hAnsi="Times New Roman" w:cs="Times New Roman"/>
          <w:sz w:val="24"/>
          <w:szCs w:val="24"/>
          <w:shd w:val="clear" w:color="auto" w:fill="FFFFFF"/>
        </w:rPr>
        <w:t xml:space="preserve"> </w:t>
      </w:r>
      <w:r>
        <w:rPr>
          <w:rFonts w:ascii="Times New Roman" w:hAnsi="Times New Roman" w:eastAsia="Times New Roman" w:cs="Times New Roman"/>
          <w:color w:val="000000"/>
          <w:sz w:val="24"/>
          <w:szCs w:val="24"/>
        </w:rPr>
        <w:t>According to monitoring records, a correlation between moderate to severe pain intensity was discovered, which had an impact on how quickly a patient recovered physically after surgery. It was discovered that the first day's average pain intensity at rest and during activity also had an impact. On the first postoperative day, however, the presence of acute discomfort both at rest and when moving indicated that physical recovery would be affected within 48 hours. Additionally, the introduction of the Numeric Rating Scale (0-10) enhanced communication about pain but presented challenges in terms of interpretation and put a strain on medical staff and care procedures.</w:t>
      </w:r>
    </w:p>
    <w:p>
      <w:pPr>
        <w:shd w:val="clear" w:color="auto" w:fill="FFFFFF"/>
        <w:spacing w:before="100" w:beforeAutospacing="1" w:after="100" w:afterAutospacing="1" w:line="48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The descriptions of pain that patients have had were hindered by patients’ resources and ward resources for performing pain assessments. The patient applied active and passive strategies to describe pain. In summary, the thesis revealed that pain assessment helps to bridge the communication gap between the patient and the health professionals. Concurrently, environmental factors like the attitude of healthcare professionals affect pain assessments in post operative pain management thus leaving the patients unsatisfied with the care. </w:t>
      </w:r>
      <w:r>
        <w:rPr>
          <w:rFonts w:ascii="Times New Roman" w:hAnsi="Times New Roman" w:cs="Times New Roman"/>
          <w:sz w:val="24"/>
          <w:szCs w:val="24"/>
          <w:shd w:val="clear" w:color="auto" w:fill="FFFFFF"/>
        </w:rPr>
        <w:t>Therefore, the adoption of a standardized pain assessment scale for identifying and effectively managing post-operative pain is supported by suitable training and resource allocation.</w:t>
      </w:r>
      <w:r>
        <w:rPr>
          <w:rFonts w:ascii="Times New Roman" w:hAnsi="Times New Roman" w:eastAsia="Times New Roman" w:cs="Times New Roman"/>
          <w:color w:val="000000"/>
          <w:sz w:val="24"/>
          <w:szCs w:val="24"/>
        </w:rPr>
        <w:t xml:space="preserve"> This necessitates carrying out an interventional study on application of pain assessment scale to post operative pain management.</w:t>
      </w:r>
    </w:p>
    <w:p>
      <w:pPr>
        <w:spacing w:before="100" w:beforeAutospacing="1" w:after="100" w:afterAutospacing="1" w:line="480" w:lineRule="auto"/>
        <w:ind w:firstLine="720"/>
        <w:jc w:val="both"/>
        <w:rPr>
          <w:rFonts w:ascii="Times New Roman" w:hAnsi="Times New Roman" w:cs="Times New Roman"/>
          <w:sz w:val="24"/>
          <w:szCs w:val="24"/>
        </w:rPr>
      </w:pPr>
      <w:r>
        <w:rPr>
          <w:rFonts w:ascii="Times New Roman" w:hAnsi="Times New Roman" w:cs="Times New Roman"/>
          <w:bCs/>
          <w:sz w:val="24"/>
          <w:szCs w:val="24"/>
        </w:rPr>
        <w:t>As part of their investigation of post-operative pain knowledge and attitudes, Kiekkas et al. (2015) evaluated 182 surgical department nurses to find factors that predicted their knowledge and attitudes.</w:t>
      </w:r>
      <w:r>
        <w:rPr>
          <w:rFonts w:ascii="Times New Roman" w:hAnsi="Times New Roman" w:cs="Times New Roman"/>
          <w:sz w:val="24"/>
          <w:szCs w:val="24"/>
        </w:rPr>
        <w:t xml:space="preserve"> The participants' attitudes toward post-operative pain assessment and management were found to be negative. The predictors for this are the mistaken belief that some patients should be evaluated based on objective facts, such as vital signs and sleepiness, and the fact that medical professionals, not patients, determine the severity of pain. In reality pain is subjective and should be individualized. It was revealed that attitudes toward post-operative pain of nurses are far from satisfactory. Negative opinions were found, mostly related to how pain is assessed and how analgesics are used. So, the educational program on using a pain assessment scale to manage post-operative pain may have an effect on nurses' views.</w:t>
      </w:r>
      <w:bookmarkStart w:id="70" w:name="_Toc120852212"/>
      <w:bookmarkStart w:id="71" w:name="_Toc104298407"/>
      <w:bookmarkStart w:id="72" w:name="_Toc104214862"/>
      <w:bookmarkStart w:id="73" w:name="_Toc104214635"/>
    </w:p>
    <w:p>
      <w:pPr>
        <w:spacing w:before="100" w:beforeAutospacing="1" w:after="100" w:afterAutospacing="1" w:line="480" w:lineRule="auto"/>
        <w:ind w:firstLine="720"/>
        <w:jc w:val="both"/>
        <w:rPr>
          <w:rFonts w:ascii="Times New Roman" w:hAnsi="Times New Roman" w:cs="Times New Roman"/>
          <w:bCs/>
        </w:rPr>
      </w:pPr>
      <w:r>
        <w:rPr>
          <w:rFonts w:ascii="Times New Roman" w:hAnsi="Times New Roman" w:cs="Times New Roman"/>
          <w:bCs/>
        </w:rPr>
        <w:fldChar w:fldCharType="begin" w:fldLock="1"/>
      </w:r>
      <w:r>
        <w:rPr>
          <w:rFonts w:ascii="Times New Roman" w:hAnsi="Times New Roman" w:cs="Times New Roman"/>
          <w:bCs/>
        </w:rPr>
        <w:instrText xml:space="preserve">ADDIN CSL_CITATION {"citationItems":[{"id":"ITEM-1","itemData":{"abstract":"Critically ill patients experience moderate to severe acute pain which minimizes their comfort. If inadequately managed, acute pain leads to negative physiological and psychological sequelae including the development of chronic pain syndromes. Optimal pain relief is reliant on nurses’ systematic and consistent assessment, and regular documentation of pain. Research related to nurses’ knowledge and practices regarding pain assessment in the critical care setting remains limited. There has been no study in Uganda about nurses’ knowledge and practices related to pain assessment among critically ill patients. The study was designed to describe nurses’ knowledge, practices and barriers related to pain assessment for critically ill patients at Mulago National Hospital.Methodology: A descriptive cross-sectional study design was employed. Data was collected using a semi- structured questionnaire from a convenient sample of 170 nurses caring for critically ill patients at Mulago Hospital. The study was approved by ethical committees at Muhimbili University of Health and Allied Sciences and Mulago Hospital. Analysis: Data was analyzed using SPSS version 14.0. Results were summarized using frequencies and percentages, and presented using figures, tables and text. Results: Majority (90%) of the participants reported to assess pain among critically ill patients but almost all of them (96%) do not use pain assessment tools. More than three quarters (79.1%) of the participants who assessed for pain documented findings after assessment. Majority of the participants (91.2%) had adequate knowledge. Almost half lacked knowledge on key pain assessment principles ; 43.5% mentioned people other than the patient as the most accurate in rating the pain intensity for the patient, and 44% do not always agreewith patients’ statements about pain. Barriers to pain assessment included; nursing workload (84.1%), lack of availability of assessment tools (74.1%), lack of education on assessment tools (82.4%) , lack of familiarity with tools (78.2%) , lack of protocols and guidelines on pain assessment and management (74.1%), poor documentation of pain assessment andmanagement (77.6%) and poor communication of pain assessment priorities at the unit (74.7%). Conclusion Assessment and documentation of pain is done by majority of nurses. However, assessment tools are minimally used. Nurses had adequate knowledge on pain assessment. However, almost half of them did not know that it is the p…","author":[{"dropping-particle":"","family":"Kizza","given":"Ib","non-dropping-particle":"","parse-names":false,"suffix":""}],"container-title":"Dissertation","id":"ITEM-1","issue":"November","issued":{"date-parts":[["2012"]]},"page":"87","title":"Nurses' Knowledge and Practices Related to Pain Assessment in Critically ill Patients at Mulago Hospital, Uganda","type":"article-journal"},"uris":["http://www.mendeley.com/documents/?uuid=ffc628eb-1e50-4a63-8afd-1a5bd606eb2d"]}],"mendeley":{"formattedCitation":"(Kizza, 2012)","manualFormatting":"Kizza (2012)","plainTextFormattedCitation":"(Kizza, 2012)","previouslyFormattedCitation":"(Kizza, 2012)"},"properties":{"noteIndex":0},"schema":"https://github.com/citation-style-language/schema/raw/master/csl-citation.json"}</w:instrText>
      </w:r>
      <w:r>
        <w:rPr>
          <w:rFonts w:ascii="Times New Roman" w:hAnsi="Times New Roman" w:cs="Times New Roman"/>
          <w:bCs/>
        </w:rPr>
        <w:fldChar w:fldCharType="separate"/>
      </w:r>
      <w:bookmarkStart w:id="74" w:name="_Toc134608276"/>
      <w:bookmarkStart w:id="75" w:name="_Toc134604144"/>
      <w:r>
        <w:rPr>
          <w:rFonts w:ascii="Times New Roman" w:hAnsi="Times New Roman" w:cs="Times New Roman"/>
          <w:bCs/>
        </w:rPr>
        <w:t>Kizza (2012)</w:t>
      </w:r>
      <w:r>
        <w:rPr>
          <w:rFonts w:ascii="Times New Roman" w:hAnsi="Times New Roman" w:cs="Times New Roman"/>
          <w:bCs/>
        </w:rPr>
        <w:fldChar w:fldCharType="end"/>
      </w:r>
      <w:r>
        <w:rPr>
          <w:rFonts w:ascii="Times New Roman" w:hAnsi="Times New Roman" w:cs="Times New Roman"/>
          <w:bCs/>
        </w:rPr>
        <w:t xml:space="preserve"> </w:t>
      </w:r>
      <w:bookmarkStart w:id="76" w:name="_Hlk99783279"/>
      <w:r>
        <w:rPr>
          <w:rFonts w:ascii="Times New Roman" w:hAnsi="Times New Roman" w:cs="Times New Roman"/>
        </w:rPr>
        <w:t xml:space="preserve">conducted a study with 170 nurses to learn about their knowledge, practices, and barriers related to assessing pain in critically sick patients. The results showed that 90% of the participants said they assessed pain in critically ill patients, but 96% said they did not use tools for doing </w:t>
      </w:r>
      <w:bookmarkEnd w:id="76"/>
      <w:r>
        <w:rPr>
          <w:rFonts w:ascii="Times New Roman" w:hAnsi="Times New Roman" w:cs="Times New Roman"/>
        </w:rPr>
        <w:t>so. More than seventy-nine (79.1%) of the participants who had their pain levels tested recorded their findings. Nursing workload was one barrier to assessing pain (84.1%), lack of assessment tools (74.1%), lack of education on assessment tools (82.4%), lack of familiarity with tools (78.2%), lack of protocols and guidelines on pain assessment and management (74.1%), and poor documentation of pain assessment and management (77.6%). The researchers came to the conclusion that although nurses were knowledgeable about pain assessment and management, they lacked the necessary assessment tools and faced other obstacles</w:t>
      </w:r>
      <w:r>
        <w:rPr>
          <w:rFonts w:ascii="Times New Roman" w:hAnsi="Times New Roman" w:cs="Times New Roman"/>
          <w:bCs/>
        </w:rPr>
        <w:fldChar w:fldCharType="begin" w:fldLock="1"/>
      </w:r>
      <w:r>
        <w:rPr>
          <w:rFonts w:ascii="Times New Roman" w:hAnsi="Times New Roman" w:cs="Times New Roman"/>
          <w:bCs/>
        </w:rPr>
        <w:instrText xml:space="preserve">ADDIN CSL_CITATION {"citationItems":[{"id":"ITEM-1","itemData":{"DOI":"10.17665/1676-4285.20155082","ISSN":"16764285","abstract":"Problem: Nursing care requires attention and systematized care in the immediate postoperative period in order to prevent complications. Aim: To characterize the care provided to patients in the immediate postoperative period; to identify the care offered by nurses to patients and correlate the difficulties of nurses in terms of the use of nursing care systematization. Method: This was a cross-sectional study that used a quantitative approach, conducted between May and June 2013 in an Emergency Hospital in Fortaleza, Ceará, Brazil. The sample consisted of 13 nurses working in the post-anaesthetic recovery room. Result: There was a predominance of care directed to the respiratory and cardiovascular system. There was an association between the large number of patients and the non-use of nursing care systematization. Conclusion: Care is not fully offered and nurses have difficulties in using nursing care systematization.","author":[{"dropping-particle":"","family":"Serra","given":"Maria Aparecida Alves de Oliveira","non-dropping-particle":"","parse-names":false,"suffix":""},{"dropping-particle":"","family":"Filho","given":"Francisco Ferreira da Silva","non-dropping-particle":"","parse-names":false,"suffix":""},{"dropping-particle":"","family":"Albuquerque","given":"Andreia de Oliveira","non-dropping-particle":"de","parse-names":false,"suffix":""},{"dropping-particle":"","family":"Santos","given":"Carlos Alberto Andrade","non-dropping-particle":"dos","parse-names":false,"suffix":""},{"dropping-particle":"","family":"Carvalho Junior","given":"José Freire","non-dropping-particle":"de","parse-names":false,"suffix":""},{"dropping-particle":"","family":"e Silva","given":"Roberta de Araújo","non-dropping-particle":"","parse-names":false,"suffix":""}],"container-title":"Online Brazilian Journal of Nursing","id":"ITEM-1","issue":"2","issued":{"date-parts":[["2015"]]},"page":"161-167","title":"Nursing care in the immediate postoperative period: A crosssectional study","type":"article-journal","volume":"14"},"uris":["http://www.mendeley.com/documents/?uuid=50d99395-f831-451b-9bd0-71776e09dd54"]}],"mendeley":{"formattedCitation":"(Serra et al., 2015)","plainTextFormattedCitation":"(Serra et al., 2015)","previouslyFormattedCitation":"(Serra et al., 2015)"},"properties":{"noteIndex":0},"schema":"https://github.com/citation-style-language/schema/raw/master/csl-citation.json"}</w:instrText>
      </w:r>
      <w:r>
        <w:rPr>
          <w:rFonts w:ascii="Times New Roman" w:hAnsi="Times New Roman" w:cs="Times New Roman"/>
          <w:bCs/>
        </w:rPr>
        <w:fldChar w:fldCharType="separate"/>
      </w:r>
      <w:r>
        <w:rPr>
          <w:rFonts w:ascii="Times New Roman" w:hAnsi="Times New Roman" w:cs="Times New Roman"/>
          <w:bCs/>
        </w:rPr>
        <w:t>(Serra et al., 2015)</w:t>
      </w:r>
      <w:r>
        <w:rPr>
          <w:rFonts w:ascii="Times New Roman" w:hAnsi="Times New Roman" w:cs="Times New Roman"/>
          <w:bCs/>
        </w:rPr>
        <w:fldChar w:fldCharType="end"/>
      </w:r>
      <w:r>
        <w:rPr>
          <w:rFonts w:ascii="Times New Roman" w:hAnsi="Times New Roman" w:cs="Times New Roman"/>
          <w:bCs/>
        </w:rPr>
        <w:t>.</w:t>
      </w:r>
      <w:r>
        <w:rPr>
          <w:rFonts w:ascii="Times New Roman" w:hAnsi="Times New Roman" w:cs="Times New Roman"/>
          <w:bCs/>
          <w:color w:val="FF0000"/>
        </w:rPr>
        <w:t xml:space="preserve"> </w:t>
      </w:r>
      <w:r>
        <w:rPr>
          <w:rFonts w:ascii="Times New Roman" w:hAnsi="Times New Roman" w:cs="Times New Roman"/>
        </w:rPr>
        <w:t>Therefore, based on these results, an education intervention on application of a pain assessment to the nurses’ practice would benefit the nurses.</w:t>
      </w:r>
      <w:bookmarkEnd w:id="70"/>
      <w:bookmarkEnd w:id="71"/>
      <w:bookmarkEnd w:id="72"/>
      <w:bookmarkEnd w:id="73"/>
      <w:bookmarkEnd w:id="74"/>
      <w:bookmarkEnd w:id="75"/>
    </w:p>
    <w:p>
      <w:pPr>
        <w:spacing w:before="100" w:beforeAutospacing="1" w:after="100" w:afterAutospacing="1" w:line="480" w:lineRule="auto"/>
        <w:ind w:firstLine="720"/>
        <w:jc w:val="both"/>
        <w:rPr>
          <w:rFonts w:ascii="Times New Roman" w:hAnsi="Times New Roman" w:cs="Times New Roman"/>
          <w:sz w:val="24"/>
          <w:szCs w:val="24"/>
        </w:rPr>
      </w:pPr>
      <w:r>
        <w:rPr>
          <w:rFonts w:ascii="Times New Roman" w:hAnsi="Times New Roman" w:cs="Times New Roman"/>
          <w:bCs/>
          <w:sz w:val="24"/>
          <w:szCs w:val="24"/>
        </w:rPr>
        <w:fldChar w:fldCharType="begin" w:fldLock="1"/>
      </w:r>
      <w:r>
        <w:rPr>
          <w:rFonts w:ascii="Times New Roman" w:hAnsi="Times New Roman" w:cs="Times New Roman"/>
          <w:bCs/>
          <w:sz w:val="24"/>
          <w:szCs w:val="24"/>
        </w:rPr>
        <w:instrText xml:space="preserve">ADDIN CSL_CITATION {"citationItems":[{"id":"ITEM-1","itemData":{"DOI":"10.1186/s12912-016-0136-8","ISSN":"14726955","abstract":"Background: While many studies have addressed various issues with regards to pain management, there is limited knowledge about how nurses assess pain in surgical wards. This study aimed to describe Thai nurses' experiences of pain assessment in a surgical ward. Methods: A cross-sectional explorative study was conducted. Participants were selected through theoretical sampling. Data was collected through interviews with twelve registered nurses working in surgical wards. Qualitative content analysis guided the analysis of the data. Results: Nurses use a double/triple check system, communicated to the healthcare team via records and protocols, and they used their skills and experiences in pain assessment. The results showed that nurses missed the opportunity to include the patients' self-reported pain in their accounts. Though much evidence of pain was collected, this did not seem to benefit the patients. Furthermore, the nurses were not using instruments to measure pain, which illustrates the potential unreliability of professionals who have differing opinions concerning the patients' pain. Conclusions: Thai nurses worked based on a 'patient-evidence' paradigm when assessing patients in pain; this should be shifted to an evidence-based paradigm. Furthermore, by including the patients' self-reported pain in their assessment, nurses would both improve the quality of the pain assessment and empower patients in their pain management. Pain management practices in Thailand should be improved through education, training, supportive innovation, and collegial competence development in order to improve the quality of care in the post-operative field.","author":[{"dropping-particle":"","family":"Chatchumni","given":"Manaporn","non-dropping-particle":"","parse-names":false,"suffix":""},{"dropping-particle":"","family":"Namvongprom","given":"Ampaporn","non-dropping-particle":"","parse-names":false,"suffix":""},{"dropping-particle":"","family":"Eriksson","given":"Henrik","non-dropping-particle":"","parse-names":false,"suffix":""},{"dropping-particle":"","family":"Mazaheri","given":"Monir","non-dropping-particle":"","parse-names":false,"suffix":""}],"container-title":"BMC Nursing","id":"ITEM-1","issue":"1","issued":{"date-parts":[["2016"]]},"page":"1-9","title":"Thai Nurses' experiences of post-operative pain assessment and its' influence on pain management decisions","type":"article-journal","volume":"15"},"uris":["http://www.mendeley.com/documents/?uuid=49deb036-84e8-4698-aa90-528703af996f"]}],"mendeley":{"formattedCitation":"(Chatchumni et al., 2016)","manualFormatting":"Chatchumni, Namvongprom, Ericksson, and Mazaheri (2016)","plainTextFormattedCitation":"(Chatchumni et al., 2016)","previouslyFormattedCitation":"(Chatchumni et al., 2016)"},"properties":{"noteIndex":0},"schema":"https://github.com/citation-style-language/schema/raw/master/csl-citation.json"}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sz w:val="24"/>
          <w:szCs w:val="24"/>
        </w:rPr>
        <w:t>Chatchumni, Namvongprom, Ericksson and Mazaheri, (2016)</w:t>
      </w:r>
      <w:r>
        <w:rPr>
          <w:rFonts w:ascii="Times New Roman" w:hAnsi="Times New Roman" w:cs="Times New Roman"/>
          <w:bCs/>
          <w:sz w:val="24"/>
          <w:szCs w:val="24"/>
        </w:rPr>
        <w:fldChar w:fldCharType="end"/>
      </w:r>
      <w:r>
        <w:rPr>
          <w:rFonts w:ascii="Times New Roman" w:hAnsi="Times New Roman" w:cs="Times New Roman"/>
          <w:sz w:val="24"/>
          <w:szCs w:val="24"/>
        </w:rPr>
        <w:t xml:space="preserve"> conducted an exploratory cross-sectional study using a qualitative methodology to examine nurses' experiences with pain assessment in a surgical unit. Despite the fact that patients' self-reported pain is regarded as the gold standard in pain assessment, it was discovered that nurses did not ask patients to characterize their level of discomfort. In order to understand and meet their requirements and to deliver appropriate management based on the pain assessment process, nurses should involve patients when assessing pain.</w:t>
      </w:r>
    </w:p>
    <w:p>
      <w:pPr>
        <w:spacing w:before="100" w:beforeAutospacing="1" w:after="100" w:afterAutospacing="1" w:line="480" w:lineRule="auto"/>
        <w:ind w:firstLine="720"/>
        <w:jc w:val="both"/>
        <w:rPr>
          <w:rFonts w:ascii="Times New Roman" w:hAnsi="Times New Roman" w:cs="Times New Roman"/>
          <w:sz w:val="24"/>
          <w:szCs w:val="24"/>
          <w:lang w:val="fr-FR"/>
        </w:rPr>
      </w:pPr>
      <w:r>
        <w:rPr>
          <w:rFonts w:ascii="Times New Roman" w:hAnsi="Times New Roman" w:cs="Times New Roman"/>
          <w:sz w:val="24"/>
          <w:szCs w:val="24"/>
        </w:rPr>
        <w:t>The nurses abide mostly on patients’ verbalization and facial expression to assess pain post-operatively. In order to treat pain, nurses address it based on their own clinical experiences rather than by adhering to set standards. The majority of nurses stated that they always treat patients' pain using medications given by the doctor, especially in the first 24 hours following surgery</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 xml:space="preserve">ADDIN CSL_CITATION {"citationItems":[{"id":"ITEM-1","itemData":{"DOI":"10.1155/2019/9091467","ISSN":"2090-1429","abstract":" Background. Postoperative pain remains one of the greatest concerns for patients following surgical procedures. Nurses play an essential role in postoperative pain assessment and management, especially within the first few days after surgery. Objective. The study investigated how nurses in a resource-constraint hospital in Ghana assessed and managed postoperative pain. Methods. This was an explorative qualitative study involving 12 registered nurses practising in the largest referral hospital in Ghana. Data was gathered using a semistructured interview guide. Demographic characteristics of participants were summarized using descriptive statistics. Data were analysed using Kvale’s three phases for analysing qualitative data. First, the entire text was read again to identify meaning units which were then condensed. Second, the condensed texts were read again and interpreted. Finally, the condensed data containing similar meaning were coded and then sorted into subthemes. Results. It was found that some nurses have never used any pain assessment tool due to lack of standard tool for assessing postoperative pain. The majority o</w:instrText>
      </w:r>
      <w:r>
        <w:rPr>
          <w:rFonts w:ascii="Times New Roman" w:hAnsi="Times New Roman" w:cs="Times New Roman"/>
          <w:bCs/>
          <w:sz w:val="24"/>
          <w:szCs w:val="24"/>
          <w:lang w:val="fr-FR"/>
        </w:rPr>
        <w:instrText xml:space="preserve">f nurses reported that managing pain by using medication was the norm especially in the first 24 hours after surgery. Conclusion. Although participants may have some knowledge of assessing and managing postoperative pain, this knowledge was not largely used to manage postoperative pain effectively, partly because of resource constraints. Therefore, there is the need for adequate training and with provision of resources, it is imperative that the use of standardized pain assessment scales could help in the proper assessment and management of postoperative pain in this setting. ","author":[{"dropping-particle":"","family":"Mahama","given":"Faisal","non-dropping-particle":"","parse-names":false,"suffix":""},{"dropping-particle":"","family":"Ninnoni","given":"Jerry P. K.","non-dropping-particle":"","parse-names":false,"suffix":""}],"container-title":"Nursing Research and Practice","id":"ITEM-1","issued":{"date-parts":[["2019"]]},"page":"1-7","title":"Assessment and Management of Postoperative Pain among Nurses at a Resource-Constraint Teaching Hospital in Ghana","type":"article-journal","volume":"2019"},"uris":["http://www.mendeley.com/documents/?uuid=913ba63c-f6cb-436f-815a-cfce17096014"]}],"mendeley":{"formattedCitation":"(Mahama &amp; Ninnoni, 2019)","plainTextFormattedCitation":"(Mahama &amp; Ninnoni, 2019)","previouslyFormattedCitation":"(Mahama &amp; Ninnoni, 2019)"},"properties":{"noteIndex":0},"schema":"https://github.com/citation-style-language/schema/raw/master/csl-citation.json"}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sz w:val="24"/>
          <w:szCs w:val="24"/>
          <w:lang w:val="fr-FR"/>
        </w:rPr>
        <w:t>(Mahama &amp; Ninnoni, 2019</w:t>
      </w:r>
      <w:r>
        <w:rPr>
          <w:rFonts w:ascii="Times New Roman" w:hAnsi="Times New Roman" w:cs="Times New Roman"/>
          <w:bCs/>
          <w:sz w:val="24"/>
          <w:szCs w:val="24"/>
        </w:rPr>
        <w:fldChar w:fldCharType="end"/>
      </w:r>
      <w:r>
        <w:rPr>
          <w:rFonts w:ascii="Times New Roman" w:hAnsi="Times New Roman" w:cs="Times New Roman"/>
          <w:bCs/>
          <w:sz w:val="24"/>
          <w:szCs w:val="24"/>
          <w:lang w:val="fr-FR"/>
        </w:rPr>
        <w:t xml:space="preserve">; </w:t>
      </w:r>
      <w:bookmarkStart w:id="77" w:name="_Hlk99892985"/>
      <w:r>
        <w:rPr>
          <w:rFonts w:ascii="Times New Roman" w:hAnsi="Times New Roman" w:cs="Times New Roman"/>
          <w:bCs/>
          <w:sz w:val="24"/>
          <w:szCs w:val="24"/>
        </w:rPr>
        <w:fldChar w:fldCharType="begin" w:fldLock="1"/>
      </w:r>
      <w:r>
        <w:rPr>
          <w:rFonts w:ascii="Times New Roman" w:hAnsi="Times New Roman" w:cs="Times New Roman"/>
          <w:bCs/>
          <w:sz w:val="24"/>
          <w:szCs w:val="24"/>
          <w:lang w:val="fr-FR"/>
        </w:rPr>
        <w:instrText xml:space="preserve">ADDIN CSL_CITATION {"citationItems":[{"id":"ITEM-1","itemData":{"DOI":"10.1177/2158244020924377","ISSN":"21582440","abstract":"The aim of the study was to investigate surgical patients’ pain experience and the quality of nursing care in managing acute postoperative pain. A descriptive cross-sectional study using a Strategic and Clinical Quality Indicators in Postoperative Pain Management Questionnaire collected data of 247 patients who underwent surgery in the surgical clinics of a state hospital. Data of 141 patients were included in the analysis. The mean scores for the scale items indicated that the quality of care was acceptable or low. The level of postoperative care, nursing interventions, and environmental subscales of the questionnaire were at an acceptable level, but pain management subscales of the questionnaire were low. These results suggest that health care, including measurable, applicable quality indicators, should be planned and evaluated to maintain professional nursing services, to achieve postoperative pain management and to relieve pain.","author":[{"dropping-particle":"","family":"Köse Tamer","given":"Laika","non-dropping-particle":"","parse-names":false,"suffix":""},{"dropping-particle":"","family":"Sucu Dağ","given":"Gülten","non-dropping-particle":"","parse-names":false,"suffix":""}],"container-title":"SAGE Open","id":"ITEM-1","issue":"2","issued":{"date-parts":[["2020"]]},"title":"The Assessment of Pain and the Quality of Postoperative Pain Management in Surgical Patients","type":"article-journal","volume":"10"},"uris":["http://www.mendeley.com/documents/?uuid=c13e2329-77dd-4ebb-af40-7472ac047451"]}],"mendeley":{"formattedCitation":"(Köse Tamer &amp; Sucu Dağ, 2020)","plainTextFormattedCitation":"(Köse Tamer &amp; Sucu Dağ, 2020)","previouslyFormattedCitation":"(Köse Tamer &amp; Sucu Dağ, 2020)"},"properties":{"noteIndex":0},"schema":"https://github.com/citation-style-language/schema/raw/master/csl-citation.json"}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sz w:val="24"/>
          <w:szCs w:val="24"/>
          <w:lang w:val="fr-FR"/>
        </w:rPr>
        <w:t>Köse Tamer &amp; Sucu Dağ, 2020)</w:t>
      </w:r>
      <w:r>
        <w:rPr>
          <w:rFonts w:ascii="Times New Roman" w:hAnsi="Times New Roman" w:cs="Times New Roman"/>
          <w:bCs/>
          <w:sz w:val="24"/>
          <w:szCs w:val="24"/>
        </w:rPr>
        <w:fldChar w:fldCharType="end"/>
      </w:r>
      <w:bookmarkEnd w:id="77"/>
      <w:r>
        <w:rPr>
          <w:rFonts w:ascii="Times New Roman" w:hAnsi="Times New Roman" w:cs="Times New Roman"/>
          <w:bCs/>
          <w:sz w:val="24"/>
          <w:szCs w:val="24"/>
          <w:lang w:val="fr-FR"/>
        </w:rPr>
        <w:t xml:space="preserve">. </w:t>
      </w:r>
      <w:r>
        <w:rPr>
          <w:rFonts w:ascii="Times New Roman" w:hAnsi="Times New Roman" w:cs="Times New Roman"/>
          <w:sz w:val="24"/>
          <w:szCs w:val="24"/>
          <w:lang w:val="fr-FR"/>
        </w:rPr>
        <w:t>Researchers came to the conclusion that nurses' descriptions of post-opérative pain évaluation and treatment showed that post-operative pain assessments were inaccurate, leading to poor post-operative pain management.</w:t>
      </w:r>
    </w:p>
    <w:p>
      <w:pPr>
        <w:spacing w:before="100" w:beforeAutospacing="1" w:after="100" w:afterAutospacing="1"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bCs/>
          <w:sz w:val="24"/>
          <w:szCs w:val="24"/>
        </w:rPr>
        <w:fldChar w:fldCharType="begin" w:fldLock="1"/>
      </w:r>
      <w:r>
        <w:rPr>
          <w:rFonts w:ascii="Times New Roman" w:hAnsi="Times New Roman" w:cs="Times New Roman"/>
          <w:bCs/>
          <w:sz w:val="24"/>
          <w:szCs w:val="24"/>
        </w:rPr>
        <w:instrText xml:space="preserve">ADDIN CSL_CITATION {"citationItems":[{"id":"ITEM-1","itemData":{"DOI":"10.1177/2158244020924377","ISSN":"21582440","abstract":"The aim of the study was to investigate surgical patients’ pain experience and the quality of nursing care in managing acute postoperative pain. A descriptive cross-sectional study using a Strategic and Clinical Quality Indicators in Postoperative Pain Management Questionnaire collected data of 247 patients who underwent surgery in the surgical clinics of a state hospital. Data of 141 patients were included in the analysis. The mean scores for the scale items indicated that the quality of care was acceptable or low. The level of postoperative care, nursing interventions, and environmental subscales of the questionnaire were at an acceptable level, but pain management subscales of the questionnaire were low. These results suggest that health care, including measurable, applicable quality indicators, should be planned and evaluated to maintain professional nursing services, to achieve postoperative pain management and to relieve pain.","author":[{"dropping-particle":"","family":"Köse Tamer","given":"Laika","non-dropping-particle":"","parse-names":false,"suffix":""},{"dropping-particle":"","family":"Sucu Dağ","given":"Gülten","non-dropping-particle":"","parse-names":false,"suffix":""}],"container-title":"SAGE Open","id":"ITEM-1","issue":"2","issued":{"date-parts":[["2020"]]},"title":"The Assessment of Pain and the Quality of Postoperative Pain Management in Surgical Patients","type":"article-journal","volume":"10"},"uris":["http://www.mendeley.com/documents/?uuid=c13e2329-77dd-4ebb-af40-7472ac047451"]}],"mendeley":{"formattedCitation":"(Köse Tamer &amp; Sucu Dağ, 2020)","manualFormatting":"Köse Tamer and Sucu Dağ (2020)","plainTextFormattedCitation":"(Köse Tamer &amp; Sucu Dağ, 2020)","previouslyFormattedCitation":"(Köse Tamer &amp; Sucu Dağ, 2020)"},"properties":{"noteIndex":0},"schema":"https://github.com/citation-style-language/schema/raw/master/csl-citation.json"}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sz w:val="24"/>
          <w:szCs w:val="24"/>
        </w:rPr>
        <w:t>Köse Tamer and Sucu Dağ, (2020)</w:t>
      </w:r>
      <w:r>
        <w:rPr>
          <w:rFonts w:ascii="Times New Roman" w:hAnsi="Times New Roman" w:cs="Times New Roman"/>
          <w:bCs/>
          <w:sz w:val="24"/>
          <w:szCs w:val="24"/>
        </w:rPr>
        <w:fldChar w:fldCharType="end"/>
      </w:r>
      <w:r>
        <w:rPr>
          <w:rFonts w:ascii="Times New Roman" w:hAnsi="Times New Roman" w:cs="Times New Roman"/>
          <w:sz w:val="24"/>
          <w:szCs w:val="24"/>
        </w:rPr>
        <w:t xml:space="preserve"> in a descriptive cross-sectional study undertaken to examine how surgical patients feel pain and the standard of nursing care in managing acute post-operative pain, discovered that, out of 141 participants,87.9% experienced pain while getting out of bed, 86.5% stated that movement increased their pain, and 61.7%</w:t>
      </w:r>
      <w:r>
        <w:rPr>
          <w:rFonts w:ascii="Times New Roman" w:hAnsi="Times New Roman" w:cs="Times New Roman"/>
          <w:sz w:val="24"/>
          <w:szCs w:val="24"/>
          <w:shd w:val="clear" w:color="auto" w:fill="FFFFFF"/>
        </w:rPr>
        <w:t xml:space="preserve"> stated that their pain was relieved by rest</w:t>
      </w:r>
      <w:r>
        <w:rPr>
          <w:rFonts w:ascii="Times New Roman" w:hAnsi="Times New Roman" w:cs="Times New Roman"/>
          <w:sz w:val="24"/>
          <w:szCs w:val="24"/>
        </w:rPr>
        <w:t>. The pain assessment scale should be integrated into post-operative pain management despite the fact that the overall quality of care in the area of pain management received a high rating.</w:t>
      </w:r>
    </w:p>
    <w:p>
      <w:pPr>
        <w:spacing w:before="100" w:beforeAutospacing="1" w:after="100" w:afterAutospacing="1"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bCs/>
          <w:sz w:val="24"/>
          <w:szCs w:val="24"/>
          <w:shd w:val="clear" w:color="auto" w:fill="FFFFFF"/>
        </w:rPr>
        <w:fldChar w:fldCharType="begin" w:fldLock="1"/>
      </w:r>
      <w:r>
        <w:rPr>
          <w:rFonts w:ascii="Times New Roman" w:hAnsi="Times New Roman" w:cs="Times New Roman"/>
          <w:bCs/>
          <w:sz w:val="24"/>
          <w:szCs w:val="24"/>
          <w:shd w:val="clear" w:color="auto" w:fill="FFFFFF"/>
        </w:rPr>
        <w:instrText xml:space="preserve">ADDIN CSL_CITATION {"citationItems":[{"id":"ITEM-1","itemData":{"ISSN":"17915201","abstract":"Background: At the postoperative period, postoperative pain one of the most important patient complains is an acute pain starting with surgical trauma, lessening gradually and ending by the tissue recovery. The essential aim in nursing care of postoperative pain is to do patient assessment with nursing approachess. Furthermore pharmacologic and non-pharmacologic nursing interventions that included individual plan are to implementation and evaluation. Purpose: The purpose of this literature review which non-pharmacological methods can be used by nurses to cope with post-operative pain in Turkey. Method: The databases of Turkish Medical Index, Google Akademik, YOK Thesis Search, Pubmed, Google Scholar, EBSCO Host, Web of Science were scanned to reach the studies. It was determined that 35 studies were in conformity with the inclusion criteria. Findings: In postoperative pain control, nonpharmacologic pain control methods can be used to increase the effect of analgesics, in case of insufficient effect of analgesics, or when analgesics cannot be used. Among nonpharmacologic postoperative pain control methods, transcutaneous nerve stimulation, application of hot and/or cold compresses, relaxation exercises, music therapy, massage, reflexology, aromatherapy rarely used in postoperative pain control but hypnosis, reiki, yoga and acupuncture can not be implemented by nurses in Turkey. Conclusion: It is seen that majority of the studies conducted on nonpharmacologic methods in Turkey were masters or doctoral theses. These methods can not be performed by nurses working at the hospitals in Turkey. The reasons non-pharmacological methods were practiced less frequently by nurses were insufficient number of nurses, patients' reluctance about pain control, lack of time, and lack of information about pain control. In accordance with these results it is recommended to give more space for teaching the non-pharmacological methods that can be applied for pain management and legal regulations can be improved.","author":[{"dropping-particle":"","family":"Şimşek Yaban","given":"Züleyha","non-dropping-particle":"","parse-names":false,"suffix":""}],"container-title":"International Journal of Caring Sciences","id":"ITEM-1","issue":"1","issued":{"date-parts":[["2019"]]},"page":"529-541","title":"Usage of Non-Pharmacologic Methods on Postoperative Pain Management by Nurses: Sample of Turkey","type":"article-journal","volume":"12"},"uris":["http://www.mendeley.com/documents/?uuid=c8a1fee6-09ad-4323-ac98-b893366dc05d"]}],"mendeley":{"formattedCitation":"(Şimşek Yaban, 2019)","manualFormatting":"Şimşek Yaban (2019)","plainTextFormattedCitation":"(Şimşek Yaban, 2019)","previouslyFormattedCitation":"(Şimşek Yaban, 2019)"},"properties":{"noteIndex":0},"schema":"https://github.com/citation-style-language/schema/raw/master/csl-citation.json"}</w:instrText>
      </w:r>
      <w:r>
        <w:rPr>
          <w:rFonts w:ascii="Times New Roman" w:hAnsi="Times New Roman" w:cs="Times New Roman"/>
          <w:bCs/>
          <w:sz w:val="24"/>
          <w:szCs w:val="24"/>
          <w:shd w:val="clear" w:color="auto" w:fill="FFFFFF"/>
        </w:rPr>
        <w:fldChar w:fldCharType="separate"/>
      </w:r>
      <w:r>
        <w:rPr>
          <w:rFonts w:ascii="Times New Roman" w:hAnsi="Times New Roman" w:cs="Times New Roman"/>
          <w:bCs/>
          <w:sz w:val="24"/>
          <w:szCs w:val="24"/>
          <w:shd w:val="clear" w:color="auto" w:fill="FFFFFF"/>
        </w:rPr>
        <w:t>Şimşek Yaban (2019)</w:t>
      </w:r>
      <w:r>
        <w:rPr>
          <w:rFonts w:ascii="Times New Roman" w:hAnsi="Times New Roman" w:cs="Times New Roman"/>
          <w:bCs/>
          <w:sz w:val="24"/>
          <w:szCs w:val="24"/>
          <w:shd w:val="clear" w:color="auto" w:fill="FFFFFF"/>
        </w:rPr>
        <w:fldChar w:fldCharType="end"/>
      </w:r>
      <w:r>
        <w:rPr>
          <w:rFonts w:ascii="Times New Roman" w:hAnsi="Times New Roman" w:cs="Times New Roman"/>
          <w:bCs/>
          <w:color w:val="FF0000"/>
          <w:sz w:val="24"/>
          <w:szCs w:val="24"/>
          <w:shd w:val="clear" w:color="auto" w:fill="FFFFFF"/>
        </w:rPr>
        <w:t xml:space="preserve"> </w:t>
      </w:r>
      <w:r>
        <w:rPr>
          <w:rFonts w:ascii="Times New Roman" w:hAnsi="Times New Roman" w:cs="Times New Roman"/>
          <w:sz w:val="24"/>
          <w:szCs w:val="24"/>
          <w:shd w:val="clear" w:color="auto" w:fill="FFFFFF"/>
        </w:rPr>
        <w:t>performed a randomized control trial that examined 32 studies looking at the work on post-operative pain management done by nurses in Turkey in order to illustrate the current situation, draw attention to this field by examining the use of non-pharmacological pain relief methods, and contribute to future research. He claimed that non-pharmacologic methods might be used to enhance the effects of analgesics after surgery or in situations when they are not appropriate.  Transcutaneous nerve stimulation, the use of heat and/or cold compresses, relaxation techniques, music therapy, massage, reflexology, and aromatherapy are non-pharmacologic methods that are rarely used to treat post-operative pain. Nevertheless, hypnosis, reiki, yoga and acupuncture were reported having failed to be implemented by nurses in Turkey. Transcutaneous nerve stimulation, the use of heat and/or cold compresses, relaxation techniques, music therapy, massage, reflexology, and aromatherapy are non-pharmacologic methods that are rarely used to treat post-operative pain.</w:t>
      </w:r>
    </w:p>
    <w:p>
      <w:pPr>
        <w:spacing w:before="100" w:beforeAutospacing="1" w:after="100" w:afterAutospacing="1"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In conclusion, an accurate assessment of pain serves as a guide in determining the best course of action for post-operative pain management. There is insufficient proof that the pain assessment scale is used promptly in post-operative pain treatment, despite the nurses giving out post-operative medication in a timely manner. Because treatment will be based on pain severity, the inclusion of the pain assessment scale will improve post-operative pain management practice.</w:t>
      </w:r>
    </w:p>
    <w:p>
      <w:pPr>
        <w:spacing w:before="100" w:beforeAutospacing="1" w:after="100" w:afterAutospacing="1" w:line="480" w:lineRule="auto"/>
        <w:ind w:left="720" w:right="720" w:firstLine="720"/>
        <w:rPr>
          <w:rFonts w:ascii="Times New Roman" w:hAnsi="Times New Roman" w:cs="Times New Roman"/>
          <w:sz w:val="24"/>
          <w:szCs w:val="24"/>
        </w:rPr>
        <w:sectPr>
          <w:type w:val="continuous"/>
          <w:pgSz w:w="12240" w:h="15840"/>
          <w:pgMar w:top="1440" w:right="1440" w:bottom="1440" w:left="1440" w:header="720" w:footer="720" w:gutter="0"/>
          <w:pgNumType w:start="1"/>
          <w:cols w:space="720" w:num="1"/>
          <w:titlePg/>
          <w:docGrid w:linePitch="360" w:charSpace="0"/>
        </w:sectPr>
      </w:pPr>
    </w:p>
    <w:p>
      <w:pPr>
        <w:pStyle w:val="3"/>
        <w:jc w:val="center"/>
        <w:rPr>
          <w:rFonts w:ascii="Times New Roman" w:hAnsi="Times New Roman" w:cs="Times New Roman"/>
          <w:b w:val="0"/>
          <w:sz w:val="24"/>
          <w:szCs w:val="24"/>
        </w:rPr>
      </w:pPr>
      <w:bookmarkStart w:id="78" w:name="_Toc142753397"/>
      <w:bookmarkStart w:id="79" w:name="_Toc134604145"/>
      <w:r>
        <w:rPr>
          <w:rFonts w:ascii="Times New Roman" w:hAnsi="Times New Roman" w:cs="Times New Roman"/>
          <w:sz w:val="24"/>
          <w:szCs w:val="24"/>
        </w:rPr>
        <w:t>Chapter Three: Methodology</w:t>
      </w:r>
      <w:bookmarkEnd w:id="78"/>
      <w:bookmarkEnd w:id="79"/>
    </w:p>
    <w:p>
      <w:pPr>
        <w:spacing w:before="100" w:beforeAutospacing="1" w:after="100" w:afterAutospacing="1" w:line="480" w:lineRule="auto"/>
        <w:ind w:left="90" w:firstLine="630"/>
        <w:jc w:val="both"/>
        <w:rPr>
          <w:rFonts w:ascii="Times New Roman" w:hAnsi="Times New Roman" w:eastAsia="MS Mincho" w:cs="Times New Roman"/>
          <w:sz w:val="24"/>
          <w:szCs w:val="24"/>
          <w:lang w:eastAsia="ja-JP"/>
        </w:rPr>
      </w:pPr>
      <w:r>
        <w:rPr>
          <w:rFonts w:ascii="Times New Roman" w:hAnsi="Times New Roman" w:eastAsia="MS Mincho" w:cs="Times New Roman"/>
          <w:color w:val="000000" w:themeColor="text1"/>
          <w:sz w:val="24"/>
          <w:szCs w:val="24"/>
          <w:lang w:eastAsia="ja-JP"/>
          <w14:textFill>
            <w14:solidFill>
              <w14:schemeClr w14:val="tx1"/>
            </w14:solidFill>
          </w14:textFill>
        </w:rPr>
        <w:t xml:space="preserve">The study describes </w:t>
      </w:r>
      <w:r>
        <w:rPr>
          <w:rFonts w:ascii="Times New Roman" w:hAnsi="Times New Roman" w:eastAsia="MS Mincho" w:cs="Times New Roman"/>
          <w:sz w:val="24"/>
          <w:szCs w:val="24"/>
          <w:lang w:eastAsia="ja-JP"/>
        </w:rPr>
        <w:t>the effect of application of the pain assessment scale to the nurse’s knowledge, attitude, and practice towards post-operative pain management on the surgical ward in one of the big private hospitals in Uganda.  The technique that was employed, study design, study population, sampling method, sampling size, method for data collecting, validity and reliability, protection of participant rights, data management, and analysis are all presented in this chapter.</w:t>
      </w:r>
    </w:p>
    <w:p>
      <w:pPr>
        <w:pStyle w:val="3"/>
        <w:rPr>
          <w:rFonts w:ascii="Times New Roman" w:hAnsi="Times New Roman" w:cs="Times New Roman"/>
          <w:b w:val="0"/>
          <w:sz w:val="24"/>
          <w:szCs w:val="24"/>
          <w:lang w:eastAsia="ja-JP"/>
        </w:rPr>
      </w:pPr>
      <w:bookmarkStart w:id="80" w:name="_Toc142753398"/>
      <w:bookmarkStart w:id="81" w:name="_Toc134604146"/>
      <w:r>
        <w:rPr>
          <w:rFonts w:ascii="Times New Roman" w:hAnsi="Times New Roman" w:cs="Times New Roman"/>
          <w:sz w:val="24"/>
          <w:szCs w:val="24"/>
          <w:lang w:eastAsia="ja-JP"/>
        </w:rPr>
        <w:t>Study design</w:t>
      </w:r>
      <w:bookmarkEnd w:id="80"/>
      <w:bookmarkEnd w:id="81"/>
    </w:p>
    <w:p>
      <w:pPr>
        <w:spacing w:before="100" w:beforeAutospacing="1" w:after="100" w:afterAutospacing="1" w:line="480" w:lineRule="auto"/>
        <w:ind w:left="90" w:firstLine="630"/>
        <w:jc w:val="both"/>
        <w:outlineLvl w:val="2"/>
        <w:rPr>
          <w:rFonts w:ascii="Times New Roman" w:hAnsi="Times New Roman" w:eastAsia="MS Mincho" w:cs="Times New Roman"/>
          <w:bCs/>
          <w:sz w:val="24"/>
          <w:szCs w:val="24"/>
          <w:lang w:eastAsia="ja-JP"/>
        </w:rPr>
      </w:pPr>
      <w:bookmarkStart w:id="82" w:name="_Toc142753399"/>
      <w:bookmarkStart w:id="83" w:name="_Toc104214865"/>
      <w:bookmarkStart w:id="84" w:name="_Toc134608279"/>
      <w:bookmarkStart w:id="85" w:name="_Toc104298410"/>
      <w:bookmarkStart w:id="86" w:name="_Toc134604147"/>
      <w:bookmarkStart w:id="87" w:name="_Toc120852216"/>
      <w:bookmarkStart w:id="88" w:name="_Toc104214638"/>
      <w:r>
        <w:rPr>
          <w:rFonts w:ascii="Times New Roman" w:hAnsi="Times New Roman" w:eastAsia="MS Mincho" w:cs="Times New Roman"/>
          <w:bCs/>
          <w:sz w:val="24"/>
          <w:szCs w:val="24"/>
          <w:lang w:eastAsia="ja-JP"/>
        </w:rPr>
        <w:t>This research was quantitative, quasi-experimental, and descriptive.</w:t>
      </w:r>
      <w:r>
        <w:rPr>
          <w:rStyle w:val="39"/>
          <w:rFonts w:ascii="Times New Roman" w:hAnsi="Times New Roman" w:cs="Times New Roman"/>
          <w:sz w:val="24"/>
          <w:szCs w:val="24"/>
        </w:rPr>
        <w:t xml:space="preserve"> </w:t>
      </w:r>
      <w:r>
        <w:rPr>
          <w:rFonts w:ascii="Times New Roman" w:hAnsi="Times New Roman" w:cs="Times New Roman"/>
          <w:sz w:val="24"/>
          <w:szCs w:val="24"/>
        </w:rPr>
        <w:t xml:space="preserve">Quantitative as it was collected and analyzed numerical data </w:t>
      </w:r>
      <w:r>
        <w:rPr>
          <w:rStyle w:val="39"/>
          <w:rFonts w:ascii="Times New Roman" w:hAnsi="Times New Roman" w:cs="Times New Roman"/>
          <w:sz w:val="24"/>
          <w:szCs w:val="24"/>
        </w:rPr>
        <w:t>, quasi experimental regarding the application of the educational intervention of the application of the pain assessment scale, and descriptive because it was going to examine the effect of the education intervention. This looked at the practice as far as post-operative pain assessment is concerned, how post-operative pain was being managed, how and when assessed, and if not assessed what reasons contribute to its failure. In line with that, the participants were chosen without randomization and given a pretest for assessment. Focusing on the pretest results, they were given training on how to apply a pain assessment scale to post-operative pain management. Then after four weeks, the participants were given a posttest for evaluation of knowledge, attitude and practice as regards pain assessment.</w:t>
      </w:r>
      <w:bookmarkEnd w:id="82"/>
      <w:bookmarkEnd w:id="83"/>
      <w:bookmarkEnd w:id="84"/>
      <w:bookmarkEnd w:id="85"/>
      <w:bookmarkEnd w:id="86"/>
      <w:bookmarkEnd w:id="87"/>
      <w:bookmarkEnd w:id="88"/>
      <w:r>
        <w:rPr>
          <w:rStyle w:val="39"/>
          <w:rFonts w:ascii="Times New Roman" w:hAnsi="Times New Roman" w:cs="Times New Roman"/>
          <w:sz w:val="24"/>
          <w:szCs w:val="24"/>
        </w:rPr>
        <w:t xml:space="preserve"> </w:t>
      </w:r>
      <w:r>
        <w:rPr>
          <w:rFonts w:ascii="Times New Roman" w:hAnsi="Times New Roman" w:eastAsia="MS Mincho" w:cs="Times New Roman"/>
          <w:bCs/>
          <w:sz w:val="24"/>
          <w:szCs w:val="24"/>
          <w:lang w:eastAsia="ja-JP"/>
        </w:rPr>
        <w:tab/>
      </w:r>
    </w:p>
    <w:p>
      <w:pPr>
        <w:pStyle w:val="3"/>
        <w:rPr>
          <w:rFonts w:ascii="Times New Roman" w:hAnsi="Times New Roman" w:cs="Times New Roman"/>
          <w:b w:val="0"/>
          <w:sz w:val="24"/>
          <w:szCs w:val="24"/>
          <w:shd w:val="clear" w:color="auto" w:fill="FFFFFF"/>
        </w:rPr>
      </w:pPr>
      <w:bookmarkStart w:id="89" w:name="_Toc142753400"/>
      <w:bookmarkStart w:id="90" w:name="_Toc134604148"/>
      <w:r>
        <w:rPr>
          <w:rFonts w:ascii="Times New Roman" w:hAnsi="Times New Roman" w:cs="Times New Roman"/>
          <w:sz w:val="24"/>
          <w:szCs w:val="24"/>
        </w:rPr>
        <w:t>Study area</w:t>
      </w:r>
      <w:bookmarkEnd w:id="89"/>
      <w:bookmarkEnd w:id="90"/>
    </w:p>
    <w:p>
      <w:pPr>
        <w:autoSpaceDE w:val="0"/>
        <w:autoSpaceDN w:val="0"/>
        <w:adjustRightInd w:val="0"/>
        <w:spacing w:before="100" w:beforeAutospacing="1" w:after="100" w:afterAutospacing="1" w:line="480" w:lineRule="auto"/>
        <w:ind w:left="90" w:firstLine="630"/>
        <w:jc w:val="both"/>
        <w:rPr>
          <w:rFonts w:ascii="Times New Roman" w:hAnsi="Times New Roman" w:cs="Times New Roman"/>
          <w:b/>
          <w:sz w:val="24"/>
          <w:szCs w:val="24"/>
          <w:shd w:val="clear" w:color="auto" w:fill="FFFFFF"/>
        </w:rPr>
      </w:pPr>
      <w:r>
        <w:rPr>
          <w:rFonts w:ascii="Times New Roman" w:hAnsi="Times New Roman" w:eastAsia="MS Mincho" w:cs="Times New Roman"/>
          <w:sz w:val="24"/>
          <w:szCs w:val="24"/>
          <w:lang w:eastAsia="ja-JP"/>
        </w:rPr>
        <w:t xml:space="preserve">The study was conducted in a hospital setting, Mengo hospital, located in Kampala city. Mengo is a teaching hospital, which covers out and in patients, carrying out </w:t>
      </w:r>
      <w:r>
        <w:rPr>
          <w:rFonts w:ascii="Times New Roman" w:hAnsi="Times New Roman" w:cs="Times New Roman"/>
          <w:sz w:val="24"/>
          <w:szCs w:val="24"/>
          <w:lang w:eastAsia="ja-JP"/>
        </w:rPr>
        <w:t>an</w:t>
      </w:r>
      <w:r>
        <w:rPr>
          <w:rFonts w:ascii="Times New Roman" w:hAnsi="Times New Roman" w:cs="Times New Roman"/>
          <w:sz w:val="24"/>
          <w:szCs w:val="24"/>
        </w:rPr>
        <w:t xml:space="preserve"> average of 45 operations per day</w:t>
      </w:r>
      <w:r>
        <w:rPr>
          <w:rFonts w:ascii="Times New Roman" w:hAnsi="Times New Roman" w:eastAsia="MS Mincho" w:cs="Times New Roman"/>
          <w:sz w:val="24"/>
          <w:szCs w:val="24"/>
          <w:lang w:eastAsia="ja-JP"/>
        </w:rPr>
        <w:t>, totaling to1350 operations a month and these include caesarian sections, gynecological, orthopedic operations and other general surgical procedures.  Therefore, this made Mengo hospital relevant to my study.</w:t>
      </w:r>
    </w:p>
    <w:p>
      <w:pPr>
        <w:pStyle w:val="3"/>
        <w:rPr>
          <w:rFonts w:ascii="Times New Roman" w:hAnsi="Times New Roman" w:cs="Times New Roman"/>
          <w:b w:val="0"/>
          <w:sz w:val="24"/>
          <w:szCs w:val="24"/>
        </w:rPr>
      </w:pPr>
      <w:bookmarkStart w:id="91" w:name="_Toc134604149"/>
      <w:bookmarkStart w:id="92" w:name="_Toc142753401"/>
      <w:r>
        <w:rPr>
          <w:rFonts w:ascii="Times New Roman" w:hAnsi="Times New Roman" w:cs="Times New Roman"/>
          <w:sz w:val="24"/>
          <w:szCs w:val="24"/>
        </w:rPr>
        <w:t>Study population</w:t>
      </w:r>
      <w:bookmarkEnd w:id="91"/>
      <w:bookmarkEnd w:id="92"/>
    </w:p>
    <w:p>
      <w:pPr>
        <w:spacing w:before="100" w:beforeAutospacing="1" w:after="100" w:afterAutospacing="1" w:line="480" w:lineRule="auto"/>
        <w:ind w:left="90" w:firstLine="630"/>
        <w:jc w:val="both"/>
        <w:rPr>
          <w:rFonts w:ascii="Times New Roman" w:hAnsi="Times New Roman" w:eastAsia="MS Mincho" w:cs="Times New Roman"/>
          <w:sz w:val="24"/>
          <w:szCs w:val="24"/>
          <w:lang w:eastAsia="ja-JP"/>
        </w:rPr>
      </w:pPr>
      <w:r>
        <w:rPr>
          <w:rFonts w:ascii="Times New Roman" w:hAnsi="Times New Roman" w:eastAsia="MS Mincho" w:cs="Times New Roman"/>
          <w:sz w:val="24"/>
          <w:szCs w:val="24"/>
          <w:lang w:eastAsia="ja-JP"/>
        </w:rPr>
        <w:t>The appropriate population for my research question were all nurses working in Mengo hospital in Uganda, whereas the target population were the nurses in Mengo hospital working on the surgical ward only.</w:t>
      </w:r>
    </w:p>
    <w:p>
      <w:pPr>
        <w:pStyle w:val="3"/>
        <w:rPr>
          <w:rFonts w:ascii="Times New Roman" w:hAnsi="Times New Roman" w:cs="Times New Roman"/>
          <w:b w:val="0"/>
          <w:sz w:val="24"/>
          <w:szCs w:val="24"/>
        </w:rPr>
      </w:pPr>
      <w:bookmarkStart w:id="93" w:name="_Toc142753402"/>
      <w:bookmarkStart w:id="94" w:name="_Toc134604150"/>
      <w:r>
        <w:rPr>
          <w:rFonts w:ascii="Times New Roman" w:hAnsi="Times New Roman" w:cs="Times New Roman"/>
          <w:sz w:val="24"/>
          <w:szCs w:val="24"/>
        </w:rPr>
        <w:t>Sample size</w:t>
      </w:r>
      <w:bookmarkEnd w:id="93"/>
      <w:bookmarkEnd w:id="94"/>
    </w:p>
    <w:p>
      <w:pPr>
        <w:spacing w:after="100" w:afterAutospacing="1" w:line="480" w:lineRule="auto"/>
        <w:ind w:left="90" w:firstLine="630"/>
        <w:jc w:val="both"/>
        <w:rPr>
          <w:rFonts w:ascii="Times New Roman" w:hAnsi="Times New Roman" w:cs="Times New Roman"/>
          <w:sz w:val="24"/>
          <w:szCs w:val="24"/>
        </w:rPr>
      </w:pPr>
      <w:r>
        <w:rPr>
          <w:rFonts w:ascii="Times New Roman" w:hAnsi="Times New Roman" w:eastAsia="MS Mincho" w:cs="Times New Roman"/>
          <w:sz w:val="24"/>
          <w:szCs w:val="24"/>
          <w:lang w:eastAsia="ja-JP"/>
        </w:rPr>
        <w:t xml:space="preserve">The study population were 61 nurses. The maximum size of the sample attained at the setting was again 61 in relation to the population size and legality with respect to the characteristics of interest. I applied </w:t>
      </w:r>
      <w:r>
        <w:rPr>
          <w:rFonts w:ascii="Times New Roman" w:hAnsi="Times New Roman" w:cs="Times New Roman"/>
          <w:sz w:val="24"/>
          <w:szCs w:val="24"/>
        </w:rPr>
        <w:t>Krejcie and Morgan (1970)’s formula for determining sample size.</w:t>
      </w:r>
    </w:p>
    <w:p>
      <w:pPr>
        <w:spacing w:after="100" w:afterAutospacing="1" w:line="240" w:lineRule="auto"/>
        <w:ind w:left="90" w:firstLine="630"/>
        <w:jc w:val="both"/>
        <w:rPr>
          <w:rFonts w:ascii="Times New Roman" w:hAnsi="Times New Roman" w:cs="Times New Roman" w:eastAsiaTheme="minorEastAsia"/>
          <w:color w:val="231F20"/>
          <w:sz w:val="24"/>
          <w:szCs w:val="24"/>
        </w:rPr>
      </w:pPr>
      <w:r>
        <w:rPr>
          <w:rFonts w:ascii="Times New Roman" w:hAnsi="Times New Roman" w:cs="Times New Roman"/>
          <w:sz w:val="24"/>
          <w:szCs w:val="24"/>
        </w:rPr>
        <w:t>S</w:t>
      </w:r>
      <w:bookmarkStart w:id="95" w:name="_Hlk103276870"/>
      <w:r>
        <w:rPr>
          <w:rFonts w:ascii="Times New Roman" w:hAnsi="Times New Roman" w:cs="Times New Roman"/>
          <w:sz w:val="24"/>
          <w:szCs w:val="24"/>
        </w:rPr>
        <w:t xml:space="preserve">= </w:t>
      </w:r>
      <m:oMath>
        <m:f>
          <m:fPr>
            <m:ctrlPr>
              <w:rPr>
                <w:rFonts w:ascii="Cambria Math" w:hAnsi="Cambria Math" w:cs="Times New Roman"/>
                <w:i/>
                <w:color w:val="231F20"/>
                <w:sz w:val="24"/>
                <w:szCs w:val="24"/>
              </w:rPr>
            </m:ctrlPr>
          </m:fPr>
          <m:num>
            <m:sSup>
              <m:sSupPr>
                <m:ctrlPr>
                  <w:rPr>
                    <w:rStyle w:val="40"/>
                    <w:rFonts w:ascii="Cambria Math" w:hAnsi="Cambria Math" w:cs="Times New Roman"/>
                    <w:sz w:val="24"/>
                    <w:szCs w:val="24"/>
                  </w:rPr>
                </m:ctrlPr>
              </m:sSupPr>
              <m:e>
                <m:r>
                  <m:rPr>
                    <m:sty m:val="p"/>
                  </m:rPr>
                  <w:rPr>
                    <w:rStyle w:val="40"/>
                    <w:rFonts w:ascii="Cambria Math" w:hAnsi="Cambria Math" w:cs="Times New Roman"/>
                    <w:sz w:val="24"/>
                    <w:szCs w:val="24"/>
                  </w:rPr>
                  <m:t>X</m:t>
                </m:r>
                <m:ctrlPr>
                  <w:rPr>
                    <w:rStyle w:val="40"/>
                    <w:rFonts w:ascii="Cambria Math" w:hAnsi="Cambria Math" w:cs="Times New Roman"/>
                    <w:sz w:val="24"/>
                    <w:szCs w:val="24"/>
                  </w:rPr>
                </m:ctrlPr>
              </m:e>
              <m:sup>
                <m:r>
                  <m:rPr/>
                  <w:rPr>
                    <w:rStyle w:val="40"/>
                    <w:rFonts w:ascii="Cambria Math" w:hAnsi="Cambria Math" w:cs="Times New Roman"/>
                    <w:sz w:val="24"/>
                    <w:szCs w:val="24"/>
                  </w:rPr>
                  <m:t>2</m:t>
                </m:r>
                <m:ctrlPr>
                  <w:rPr>
                    <w:rStyle w:val="40"/>
                    <w:rFonts w:ascii="Cambria Math" w:hAnsi="Cambria Math" w:cs="Times New Roman"/>
                    <w:sz w:val="24"/>
                    <w:szCs w:val="24"/>
                  </w:rPr>
                </m:ctrlPr>
              </m:sup>
            </m:sSup>
            <m:r>
              <m:rPr/>
              <w:rPr>
                <w:rStyle w:val="40"/>
                <w:rFonts w:ascii="Cambria Math" w:hAnsi="Cambria Math" w:cs="Times New Roman"/>
                <w:sz w:val="24"/>
                <w:szCs w:val="24"/>
              </w:rPr>
              <m:t>NP</m:t>
            </m:r>
            <m:r>
              <m:rPr>
                <m:sty m:val="p"/>
              </m:rPr>
              <w:rPr>
                <w:rStyle w:val="40"/>
                <w:rFonts w:ascii="Cambria Math" w:hAnsi="Cambria Math" w:cs="Times New Roman"/>
                <w:sz w:val="24"/>
                <w:szCs w:val="24"/>
              </w:rPr>
              <m:t>(1−P)</m:t>
            </m:r>
            <m:ctrlPr>
              <w:rPr>
                <w:rFonts w:ascii="Cambria Math" w:hAnsi="Cambria Math" w:cs="Times New Roman"/>
                <w:i/>
                <w:color w:val="231F20"/>
                <w:sz w:val="24"/>
                <w:szCs w:val="24"/>
              </w:rPr>
            </m:ctrlPr>
          </m:num>
          <m:den>
            <m:sSup>
              <m:sSupPr>
                <m:ctrlPr>
                  <w:rPr>
                    <w:rStyle w:val="40"/>
                    <w:rFonts w:ascii="Cambria Math" w:hAnsi="Cambria Math" w:cs="Times New Roman"/>
                    <w:sz w:val="24"/>
                    <w:szCs w:val="24"/>
                  </w:rPr>
                </m:ctrlPr>
              </m:sSupPr>
              <m:e>
                <m:r>
                  <m:rPr/>
                  <w:rPr>
                    <w:rStyle w:val="40"/>
                    <w:rFonts w:ascii="Cambria Math" w:hAnsi="Cambria Math" w:cs="Times New Roman"/>
                    <w:sz w:val="24"/>
                    <w:szCs w:val="24"/>
                  </w:rPr>
                  <m:t>d</m:t>
                </m:r>
                <m:ctrlPr>
                  <w:rPr>
                    <w:rStyle w:val="40"/>
                    <w:rFonts w:ascii="Cambria Math" w:hAnsi="Cambria Math" w:cs="Times New Roman"/>
                    <w:sz w:val="24"/>
                    <w:szCs w:val="24"/>
                  </w:rPr>
                </m:ctrlPr>
              </m:e>
              <m:sup>
                <m:r>
                  <m:rPr/>
                  <w:rPr>
                    <w:rStyle w:val="40"/>
                    <w:rFonts w:ascii="Cambria Math" w:hAnsi="Cambria Math" w:cs="Times New Roman"/>
                    <w:sz w:val="24"/>
                    <w:szCs w:val="24"/>
                  </w:rPr>
                  <m:t>2</m:t>
                </m:r>
                <m:ctrlPr>
                  <w:rPr>
                    <w:rStyle w:val="40"/>
                    <w:rFonts w:ascii="Cambria Math" w:hAnsi="Cambria Math" w:cs="Times New Roman"/>
                    <w:sz w:val="24"/>
                    <w:szCs w:val="24"/>
                  </w:rPr>
                </m:ctrlPr>
              </m:sup>
            </m:sSup>
            <m:r>
              <m:rPr>
                <m:sty m:val="p"/>
              </m:rPr>
              <w:rPr>
                <w:rStyle w:val="40"/>
                <w:rFonts w:ascii="Cambria Math" w:hAnsi="Cambria Math" w:cs="Times New Roman"/>
                <w:sz w:val="24"/>
                <w:szCs w:val="24"/>
              </w:rPr>
              <m:t>(</m:t>
            </m:r>
            <m:r>
              <m:rPr/>
              <w:rPr>
                <w:rStyle w:val="40"/>
                <w:rFonts w:ascii="Cambria Math" w:hAnsi="Cambria Math" w:cs="Times New Roman"/>
                <w:sz w:val="24"/>
                <w:szCs w:val="24"/>
              </w:rPr>
              <m:t>N</m:t>
            </m:r>
            <m:r>
              <m:rPr>
                <m:sty m:val="p"/>
              </m:rPr>
              <w:rPr>
                <w:rStyle w:val="40"/>
                <w:rFonts w:ascii="Cambria Math" w:hAnsi="Cambria Math" w:cs="Times New Roman"/>
                <w:sz w:val="24"/>
                <w:szCs w:val="24"/>
              </w:rPr>
              <m:t xml:space="preserve">−1) + </m:t>
            </m:r>
            <m:sSup>
              <m:sSupPr>
                <m:ctrlPr>
                  <w:rPr>
                    <w:rStyle w:val="40"/>
                    <w:rFonts w:ascii="Cambria Math" w:hAnsi="Cambria Math" w:cs="Times New Roman"/>
                    <w:i/>
                    <w:sz w:val="24"/>
                    <w:szCs w:val="24"/>
                  </w:rPr>
                </m:ctrlPr>
              </m:sSupPr>
              <m:e>
                <m:r>
                  <m:rPr/>
                  <w:rPr>
                    <w:rStyle w:val="40"/>
                    <w:rFonts w:ascii="Cambria Math" w:hAnsi="Cambria Math" w:cs="Times New Roman"/>
                    <w:sz w:val="24"/>
                    <w:szCs w:val="24"/>
                  </w:rPr>
                  <m:t>X</m:t>
                </m:r>
                <m:ctrlPr>
                  <w:rPr>
                    <w:rStyle w:val="40"/>
                    <w:rFonts w:ascii="Cambria Math" w:hAnsi="Cambria Math" w:cs="Times New Roman"/>
                    <w:i/>
                    <w:sz w:val="24"/>
                    <w:szCs w:val="24"/>
                  </w:rPr>
                </m:ctrlPr>
              </m:e>
              <m:sup>
                <m:r>
                  <m:rPr/>
                  <w:rPr>
                    <w:rStyle w:val="40"/>
                    <w:rFonts w:ascii="Cambria Math" w:hAnsi="Cambria Math" w:cs="Times New Roman"/>
                    <w:sz w:val="24"/>
                    <w:szCs w:val="24"/>
                  </w:rPr>
                  <m:t>2</m:t>
                </m:r>
                <m:ctrlPr>
                  <w:rPr>
                    <w:rStyle w:val="40"/>
                    <w:rFonts w:ascii="Cambria Math" w:hAnsi="Cambria Math" w:cs="Times New Roman"/>
                    <w:i/>
                    <w:sz w:val="24"/>
                    <w:szCs w:val="24"/>
                  </w:rPr>
                </m:ctrlPr>
              </m:sup>
            </m:sSup>
            <m:r>
              <m:rPr>
                <m:sty m:val="p"/>
              </m:rPr>
              <w:rPr>
                <w:rStyle w:val="40"/>
                <w:rFonts w:ascii="Cambria Math" w:hAnsi="Cambria Math" w:cs="Times New Roman"/>
                <w:sz w:val="24"/>
                <w:szCs w:val="24"/>
              </w:rPr>
              <m:t>P(1−</m:t>
            </m:r>
            <m:r>
              <m:rPr/>
              <w:rPr>
                <w:rStyle w:val="40"/>
                <w:rFonts w:ascii="Cambria Math" w:hAnsi="Cambria Math" w:cs="Times New Roman"/>
                <w:sz w:val="24"/>
                <w:szCs w:val="24"/>
              </w:rPr>
              <m:t>P</m:t>
            </m:r>
            <m:r>
              <m:rPr>
                <m:sty m:val="p"/>
              </m:rPr>
              <w:rPr>
                <w:rStyle w:val="40"/>
                <w:rFonts w:ascii="Cambria Math" w:hAnsi="Cambria Math" w:cs="Times New Roman"/>
                <w:sz w:val="24"/>
                <w:szCs w:val="24"/>
              </w:rPr>
              <m:t>)</m:t>
            </m:r>
            <m:ctrlPr>
              <w:rPr>
                <w:rFonts w:ascii="Cambria Math" w:hAnsi="Cambria Math" w:cs="Times New Roman"/>
                <w:i/>
                <w:color w:val="231F20"/>
                <w:sz w:val="24"/>
                <w:szCs w:val="24"/>
              </w:rPr>
            </m:ctrlPr>
            <w:bookmarkEnd w:id="95"/>
          </m:den>
        </m:f>
      </m:oMath>
    </w:p>
    <w:p>
      <w:pPr>
        <w:spacing w:after="100" w:afterAutospacing="1" w:line="240" w:lineRule="auto"/>
        <w:ind w:left="90" w:firstLine="630"/>
        <w:jc w:val="both"/>
        <w:rPr>
          <w:rFonts w:ascii="Times New Roman" w:hAnsi="Times New Roman" w:cs="Times New Roman"/>
          <w:sz w:val="24"/>
          <w:szCs w:val="24"/>
        </w:rPr>
      </w:pPr>
      <w:r>
        <w:rPr>
          <w:rFonts w:ascii="Times New Roman" w:hAnsi="Times New Roman" w:cs="Times New Roman"/>
          <w:sz w:val="24"/>
          <w:szCs w:val="24"/>
        </w:rPr>
        <w:t xml:space="preserve">Where: </w:t>
      </w:r>
    </w:p>
    <w:p>
      <w:pPr>
        <w:spacing w:after="100" w:afterAutospacing="1" w:line="240" w:lineRule="auto"/>
        <w:ind w:left="90" w:firstLine="630"/>
        <w:jc w:val="both"/>
        <w:rPr>
          <w:rFonts w:ascii="Times New Roman" w:hAnsi="Times New Roman" w:cs="Times New Roman"/>
          <w:sz w:val="24"/>
          <w:szCs w:val="24"/>
        </w:rPr>
      </w:pPr>
      <w:r>
        <w:rPr>
          <w:rFonts w:ascii="Times New Roman" w:hAnsi="Times New Roman" w:cs="Times New Roman"/>
          <w:sz w:val="24"/>
          <w:szCs w:val="24"/>
        </w:rPr>
        <w:t xml:space="preserve">S = required sample size </w:t>
      </w:r>
    </w:p>
    <w:p>
      <w:pPr>
        <w:spacing w:after="100" w:afterAutospacing="1" w:line="240" w:lineRule="auto"/>
        <w:ind w:left="90" w:firstLine="630"/>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perscript"/>
        </w:rPr>
        <w:t>2</w:t>
      </w:r>
      <w:r>
        <w:rPr>
          <w:rFonts w:ascii="Times New Roman" w:hAnsi="Times New Roman" w:cs="Times New Roman"/>
          <w:sz w:val="24"/>
          <w:szCs w:val="24"/>
        </w:rPr>
        <w:t xml:space="preserve"> = the table value of chi-square for 1 degree of freedom at the desired confidence level (3.841).</w:t>
      </w:r>
    </w:p>
    <w:p>
      <w:pPr>
        <w:spacing w:after="100" w:afterAutospacing="1" w:line="240" w:lineRule="auto"/>
        <w:ind w:left="90" w:firstLine="630"/>
        <w:jc w:val="both"/>
        <w:rPr>
          <w:rFonts w:ascii="Times New Roman" w:hAnsi="Times New Roman" w:cs="Times New Roman"/>
          <w:bCs/>
          <w:sz w:val="24"/>
          <w:szCs w:val="24"/>
        </w:rPr>
      </w:pPr>
      <w:r>
        <w:rPr>
          <w:rFonts w:ascii="Times New Roman" w:hAnsi="Times New Roman" w:cs="Times New Roman"/>
          <w:sz w:val="24"/>
          <w:szCs w:val="24"/>
        </w:rPr>
        <w:t>N = the population size</w:t>
      </w:r>
    </w:p>
    <w:p>
      <w:pPr>
        <w:spacing w:after="100" w:afterAutospacing="1" w:line="240" w:lineRule="auto"/>
        <w:ind w:left="90" w:firstLine="630"/>
        <w:jc w:val="both"/>
        <w:rPr>
          <w:rFonts w:ascii="Times New Roman" w:hAnsi="Times New Roman" w:cs="Times New Roman"/>
          <w:sz w:val="24"/>
          <w:szCs w:val="24"/>
        </w:rPr>
      </w:pPr>
      <w:r>
        <w:rPr>
          <w:rFonts w:ascii="Times New Roman" w:hAnsi="Times New Roman" w:cs="Times New Roman"/>
          <w:sz w:val="24"/>
          <w:szCs w:val="24"/>
        </w:rPr>
        <w:t>P = the population proportion (assumed to be 50 since this would provide the maximum sample).</w:t>
      </w:r>
    </w:p>
    <w:p>
      <w:pPr>
        <w:spacing w:after="100" w:afterAutospacing="1" w:line="240" w:lineRule="auto"/>
        <w:ind w:left="90" w:firstLine="630"/>
        <w:jc w:val="both"/>
        <w:rPr>
          <w:rFonts w:ascii="Times New Roman" w:hAnsi="Times New Roman" w:cs="Times New Roman"/>
          <w:sz w:val="24"/>
          <w:szCs w:val="24"/>
        </w:rPr>
      </w:pPr>
      <w:r>
        <w:rPr>
          <w:rFonts w:ascii="Times New Roman" w:hAnsi="Times New Roman" w:cs="Times New Roman"/>
          <w:sz w:val="24"/>
          <w:szCs w:val="24"/>
        </w:rPr>
        <w:t>d = the degree of accuracy expressed as a proportion (0.05).</w:t>
      </w:r>
    </w:p>
    <w:p>
      <w:pPr>
        <w:spacing w:after="100" w:afterAutospacing="1" w:line="240" w:lineRule="auto"/>
        <w:ind w:left="90" w:firstLine="630"/>
        <w:jc w:val="both"/>
        <w:rPr>
          <w:rFonts w:ascii="Times New Roman" w:hAnsi="Times New Roman" w:cs="Times New Roman"/>
          <w:bCs/>
          <w:sz w:val="24"/>
          <w:szCs w:val="24"/>
        </w:rPr>
      </w:pPr>
      <w:r>
        <w:rPr>
          <w:rFonts w:ascii="Times New Roman" w:hAnsi="Times New Roman" w:cs="Times New Roman"/>
          <w:bCs/>
          <w:sz w:val="24"/>
          <w:szCs w:val="24"/>
        </w:rPr>
        <w:t xml:space="preserve">Sample size </w:t>
      </w:r>
    </w:p>
    <w:p>
      <w:pPr>
        <w:spacing w:after="100" w:afterAutospacing="1" w:line="240" w:lineRule="auto"/>
        <w:ind w:left="90" w:firstLine="630"/>
        <w:jc w:val="both"/>
        <w:rPr>
          <w:rFonts w:ascii="Times New Roman" w:hAnsi="Times New Roman" w:cs="Times New Roman"/>
          <w:bCs/>
          <w:sz w:val="24"/>
          <w:szCs w:val="24"/>
        </w:rPr>
      </w:pPr>
      <w:r>
        <w:rPr>
          <w:rFonts w:ascii="Times New Roman" w:hAnsi="Times New Roman" w:cs="Times New Roman"/>
          <w:bCs/>
          <w:sz w:val="24"/>
          <w:szCs w:val="24"/>
        </w:rPr>
        <w:t>X</w:t>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 3.841, N = 61, P = 0.5, d = 0.05</w:t>
      </w:r>
    </w:p>
    <w:p>
      <w:pPr>
        <w:spacing w:after="100" w:afterAutospacing="1" w:line="240" w:lineRule="auto"/>
        <w:ind w:left="90" w:firstLine="630"/>
        <w:jc w:val="both"/>
        <w:rPr>
          <w:rFonts w:ascii="Times New Roman" w:hAnsi="Times New Roman" w:cs="Times New Roman" w:eastAsiaTheme="minorEastAsia"/>
          <w:color w:val="231F20"/>
          <w:sz w:val="24"/>
          <w:szCs w:val="24"/>
        </w:rPr>
      </w:pPr>
      <w:r>
        <w:rPr>
          <w:rFonts w:ascii="Times New Roman" w:hAnsi="Times New Roman" w:cs="Times New Roman"/>
          <w:sz w:val="24"/>
          <w:szCs w:val="24"/>
        </w:rPr>
        <w:br w:type="textWrapping"/>
      </w:r>
      <w:r>
        <w:rPr>
          <w:rFonts w:ascii="Times New Roman" w:hAnsi="Times New Roman" w:cs="Times New Roman" w:eastAsiaTheme="minorEastAsia"/>
          <w:color w:val="231F20"/>
          <w:sz w:val="24"/>
          <w:szCs w:val="24"/>
        </w:rPr>
        <w:t xml:space="preserve"> </w:t>
      </w:r>
      <w:r>
        <w:rPr>
          <w:rFonts w:ascii="Times New Roman" w:hAnsi="Times New Roman" w:cs="Times New Roman" w:eastAsiaTheme="minorEastAsia"/>
          <w:color w:val="231F20"/>
          <w:sz w:val="24"/>
          <w:szCs w:val="24"/>
        </w:rPr>
        <w:tab/>
      </w:r>
      <w:r>
        <w:rPr>
          <w:rFonts w:ascii="Times New Roman" w:hAnsi="Times New Roman" w:cs="Times New Roman" w:eastAsiaTheme="minorEastAsia"/>
          <w:color w:val="231F20"/>
          <w:sz w:val="24"/>
          <w:szCs w:val="24"/>
        </w:rPr>
        <w:tab/>
      </w:r>
      <m:oMath>
        <m:f>
          <m:fPr>
            <m:ctrlPr>
              <w:rPr>
                <w:rFonts w:ascii="Cambria Math" w:hAnsi="Cambria Math" w:cs="Times New Roman"/>
                <w:i/>
                <w:color w:val="231F20"/>
                <w:sz w:val="24"/>
                <w:szCs w:val="24"/>
              </w:rPr>
            </m:ctrlPr>
          </m:fPr>
          <m:num>
            <m:r>
              <m:rPr/>
              <w:rPr>
                <w:rFonts w:ascii="Cambria Math" w:hAnsi="Cambria Math" w:cs="Times New Roman"/>
                <w:color w:val="231F20"/>
                <w:sz w:val="24"/>
                <w:szCs w:val="24"/>
              </w:rPr>
              <m:t xml:space="preserve">3.841  X 61 X 0.5 </m:t>
            </m:r>
            <m:r>
              <m:rPr>
                <m:sty m:val="p"/>
              </m:rPr>
              <w:rPr>
                <w:rStyle w:val="40"/>
                <w:rFonts w:ascii="Cambria Math" w:hAnsi="Cambria Math" w:cs="Times New Roman"/>
                <w:sz w:val="24"/>
                <w:szCs w:val="24"/>
              </w:rPr>
              <m:t>(1−0.5)</m:t>
            </m:r>
            <m:ctrlPr>
              <w:rPr>
                <w:rFonts w:ascii="Cambria Math" w:hAnsi="Cambria Math" w:cs="Times New Roman"/>
                <w:i/>
                <w:color w:val="231F20"/>
                <w:sz w:val="24"/>
                <w:szCs w:val="24"/>
              </w:rPr>
            </m:ctrlPr>
          </m:num>
          <m:den>
            <m:sSup>
              <m:sSupPr>
                <m:ctrlPr>
                  <w:rPr>
                    <w:rStyle w:val="40"/>
                    <w:rFonts w:ascii="Cambria Math" w:hAnsi="Cambria Math" w:cs="Times New Roman"/>
                    <w:sz w:val="24"/>
                    <w:szCs w:val="24"/>
                  </w:rPr>
                </m:ctrlPr>
              </m:sSupPr>
              <m:e>
                <m:r>
                  <m:rPr/>
                  <w:rPr>
                    <w:rStyle w:val="40"/>
                    <w:rFonts w:ascii="Cambria Math" w:hAnsi="Cambria Math" w:cs="Times New Roman"/>
                    <w:sz w:val="24"/>
                    <w:szCs w:val="24"/>
                  </w:rPr>
                  <m:t xml:space="preserve"> 0.05</m:t>
                </m:r>
                <m:ctrlPr>
                  <w:rPr>
                    <w:rStyle w:val="40"/>
                    <w:rFonts w:ascii="Cambria Math" w:hAnsi="Cambria Math" w:cs="Times New Roman"/>
                    <w:sz w:val="24"/>
                    <w:szCs w:val="24"/>
                  </w:rPr>
                </m:ctrlPr>
              </m:e>
              <m:sup>
                <m:r>
                  <m:rPr/>
                  <w:rPr>
                    <w:rStyle w:val="40"/>
                    <w:rFonts w:ascii="Cambria Math" w:hAnsi="Cambria Math" w:cs="Times New Roman"/>
                    <w:sz w:val="24"/>
                    <w:szCs w:val="24"/>
                  </w:rPr>
                  <m:t>2</m:t>
                </m:r>
                <m:ctrlPr>
                  <w:rPr>
                    <w:rStyle w:val="40"/>
                    <w:rFonts w:ascii="Cambria Math" w:hAnsi="Cambria Math" w:cs="Times New Roman"/>
                    <w:sz w:val="24"/>
                    <w:szCs w:val="24"/>
                  </w:rPr>
                </m:ctrlPr>
              </m:sup>
            </m:sSup>
            <m:d>
              <m:dPr>
                <m:ctrlPr>
                  <w:rPr>
                    <w:rStyle w:val="40"/>
                    <w:rFonts w:ascii="Cambria Math" w:hAnsi="Cambria Math" w:cs="Times New Roman"/>
                    <w:sz w:val="24"/>
                    <w:szCs w:val="24"/>
                  </w:rPr>
                </m:ctrlPr>
              </m:dPr>
              <m:e>
                <m:r>
                  <m:rPr/>
                  <w:rPr>
                    <w:rStyle w:val="40"/>
                    <w:rFonts w:ascii="Cambria Math" w:hAnsi="Cambria Math" w:cs="Times New Roman"/>
                    <w:sz w:val="24"/>
                    <w:szCs w:val="24"/>
                  </w:rPr>
                  <m:t>61</m:t>
                </m:r>
                <m:r>
                  <m:rPr>
                    <m:sty m:val="p"/>
                  </m:rPr>
                  <w:rPr>
                    <w:rStyle w:val="40"/>
                    <w:rFonts w:ascii="Cambria Math" w:hAnsi="Cambria Math" w:cs="Times New Roman"/>
                    <w:sz w:val="24"/>
                    <w:szCs w:val="24"/>
                  </w:rPr>
                  <m:t>−1</m:t>
                </m:r>
                <m:ctrlPr>
                  <w:rPr>
                    <w:rStyle w:val="40"/>
                    <w:rFonts w:ascii="Cambria Math" w:hAnsi="Cambria Math" w:cs="Times New Roman"/>
                    <w:sz w:val="24"/>
                    <w:szCs w:val="24"/>
                  </w:rPr>
                </m:ctrlPr>
              </m:e>
            </m:d>
            <m:r>
              <m:rPr>
                <m:sty m:val="p"/>
              </m:rPr>
              <w:rPr>
                <w:rStyle w:val="40"/>
                <w:rFonts w:ascii="Cambria Math" w:hAnsi="Cambria Math" w:cs="Times New Roman"/>
                <w:sz w:val="24"/>
                <w:szCs w:val="24"/>
              </w:rPr>
              <m:t xml:space="preserve">+ </m:t>
            </m:r>
            <m:sSup>
              <m:sSupPr>
                <m:ctrlPr>
                  <w:rPr>
                    <w:rStyle w:val="40"/>
                    <w:rFonts w:ascii="Cambria Math" w:hAnsi="Cambria Math" w:cs="Times New Roman"/>
                    <w:i/>
                    <w:sz w:val="24"/>
                    <w:szCs w:val="24"/>
                  </w:rPr>
                </m:ctrlPr>
              </m:sSupPr>
              <m:e>
                <m:r>
                  <m:rPr/>
                  <w:rPr>
                    <w:rStyle w:val="40"/>
                    <w:rFonts w:ascii="Cambria Math" w:hAnsi="Cambria Math" w:cs="Times New Roman"/>
                    <w:sz w:val="24"/>
                    <w:szCs w:val="24"/>
                  </w:rPr>
                  <m:t>3.481</m:t>
                </m:r>
                <m:ctrlPr>
                  <w:rPr>
                    <w:rStyle w:val="40"/>
                    <w:rFonts w:ascii="Cambria Math" w:hAnsi="Cambria Math" w:cs="Times New Roman"/>
                    <w:i/>
                    <w:sz w:val="24"/>
                    <w:szCs w:val="24"/>
                  </w:rPr>
                </m:ctrlPr>
              </m:e>
              <m:sup>
                <m:ctrlPr>
                  <w:rPr>
                    <w:rStyle w:val="40"/>
                    <w:rFonts w:ascii="Cambria Math" w:hAnsi="Cambria Math" w:cs="Times New Roman"/>
                    <w:i/>
                    <w:sz w:val="24"/>
                    <w:szCs w:val="24"/>
                  </w:rPr>
                </m:ctrlPr>
              </m:sup>
            </m:sSup>
            <m:r>
              <m:rPr>
                <m:sty m:val="p"/>
              </m:rPr>
              <w:rPr>
                <w:rStyle w:val="40"/>
                <w:rFonts w:ascii="Cambria Math" w:hAnsi="Cambria Math" w:cs="Times New Roman"/>
                <w:sz w:val="24"/>
                <w:szCs w:val="24"/>
              </w:rPr>
              <m:t>X 0.5(1−</m:t>
            </m:r>
            <m:r>
              <m:rPr/>
              <w:rPr>
                <w:rStyle w:val="40"/>
                <w:rFonts w:ascii="Cambria Math" w:hAnsi="Cambria Math" w:cs="Times New Roman"/>
                <w:sz w:val="24"/>
                <w:szCs w:val="24"/>
              </w:rPr>
              <m:t>0.5</m:t>
            </m:r>
            <m:r>
              <m:rPr>
                <m:sty m:val="p"/>
              </m:rPr>
              <w:rPr>
                <w:rStyle w:val="40"/>
                <w:rFonts w:ascii="Cambria Math" w:hAnsi="Cambria Math" w:cs="Times New Roman"/>
                <w:sz w:val="24"/>
                <w:szCs w:val="24"/>
              </w:rPr>
              <m:t>)</m:t>
            </m:r>
            <m:ctrlPr>
              <w:rPr>
                <w:rFonts w:ascii="Cambria Math" w:hAnsi="Cambria Math" w:cs="Times New Roman"/>
                <w:i/>
                <w:color w:val="231F20"/>
                <w:sz w:val="24"/>
                <w:szCs w:val="24"/>
              </w:rPr>
            </m:ctrlPr>
          </m:den>
        </m:f>
      </m:oMath>
      <w:r>
        <w:rPr>
          <w:rFonts w:ascii="Times New Roman" w:hAnsi="Times New Roman" w:cs="Times New Roman" w:eastAsiaTheme="minorEastAsia"/>
          <w:color w:val="231F20"/>
          <w:sz w:val="24"/>
          <w:szCs w:val="24"/>
        </w:rPr>
        <w:t xml:space="preserve">  = 53.25</w:t>
      </w:r>
    </w:p>
    <w:p>
      <w:pPr>
        <w:pStyle w:val="3"/>
        <w:rPr>
          <w:rFonts w:ascii="Times New Roman" w:hAnsi="Times New Roman" w:cs="Times New Roman"/>
          <w:b w:val="0"/>
          <w:sz w:val="24"/>
          <w:szCs w:val="24"/>
          <w:lang w:eastAsia="ja-JP"/>
        </w:rPr>
      </w:pPr>
      <w:bookmarkStart w:id="96" w:name="_Toc134604151"/>
      <w:bookmarkStart w:id="97" w:name="_Toc142753403"/>
      <w:r>
        <w:rPr>
          <w:rFonts w:ascii="Times New Roman" w:hAnsi="Times New Roman" w:cs="Times New Roman"/>
          <w:sz w:val="24"/>
          <w:szCs w:val="24"/>
          <w:lang w:eastAsia="ja-JP"/>
        </w:rPr>
        <w:t>Inclusion criteria.</w:t>
      </w:r>
      <w:bookmarkEnd w:id="96"/>
      <w:bookmarkEnd w:id="97"/>
    </w:p>
    <w:p>
      <w:pPr>
        <w:spacing w:before="100" w:beforeAutospacing="1" w:after="100" w:afterAutospacing="1" w:line="480" w:lineRule="auto"/>
        <w:ind w:left="90" w:firstLine="630"/>
        <w:jc w:val="both"/>
        <w:rPr>
          <w:rFonts w:ascii="Times New Roman" w:hAnsi="Times New Roman" w:eastAsia="MS Mincho" w:cs="Times New Roman"/>
          <w:sz w:val="24"/>
          <w:szCs w:val="24"/>
          <w:lang w:eastAsia="ja-JP"/>
        </w:rPr>
      </w:pPr>
      <w:r>
        <w:rPr>
          <w:rFonts w:ascii="Times New Roman" w:hAnsi="Times New Roman" w:eastAsia="MS Mincho" w:cs="Times New Roman"/>
          <w:sz w:val="24"/>
          <w:szCs w:val="24"/>
          <w:lang w:eastAsia="ja-JP"/>
        </w:rPr>
        <w:t>The sample consisted of all nurses working on the surgical wards with the exception of those working beyond 4:00pm.</w:t>
      </w:r>
    </w:p>
    <w:p>
      <w:pPr>
        <w:pStyle w:val="4"/>
        <w:jc w:val="both"/>
        <w:rPr>
          <w:rFonts w:ascii="Times New Roman" w:hAnsi="Times New Roman" w:eastAsia="MS Mincho" w:cs="Times New Roman"/>
          <w:b/>
          <w:bCs/>
          <w:color w:val="auto"/>
          <w:lang w:eastAsia="ja-JP"/>
        </w:rPr>
      </w:pPr>
      <w:bookmarkStart w:id="98" w:name="_Toc134604152"/>
      <w:bookmarkStart w:id="99" w:name="_Toc142753404"/>
      <w:bookmarkStart w:id="100" w:name="_Toc134608284"/>
      <w:r>
        <w:rPr>
          <w:rFonts w:ascii="Times New Roman" w:hAnsi="Times New Roman" w:eastAsia="MS Mincho" w:cs="Times New Roman"/>
          <w:b/>
          <w:bCs/>
          <w:color w:val="auto"/>
          <w:lang w:eastAsia="ja-JP"/>
        </w:rPr>
        <w:t>Exclusion criteria.</w:t>
      </w:r>
      <w:bookmarkEnd w:id="98"/>
      <w:bookmarkEnd w:id="99"/>
      <w:bookmarkEnd w:id="100"/>
    </w:p>
    <w:p>
      <w:pPr>
        <w:spacing w:before="100" w:beforeAutospacing="1" w:after="100" w:afterAutospacing="1" w:line="480" w:lineRule="auto"/>
        <w:ind w:left="90" w:firstLine="630"/>
        <w:contextualSpacing/>
        <w:jc w:val="both"/>
        <w:rPr>
          <w:rFonts w:ascii="Times New Roman" w:hAnsi="Times New Roman" w:eastAsia="MS Mincho" w:cs="Times New Roman"/>
          <w:b/>
          <w:sz w:val="24"/>
          <w:szCs w:val="24"/>
          <w:lang w:eastAsia="ja-JP"/>
        </w:rPr>
      </w:pPr>
      <w:r>
        <w:rPr>
          <w:rFonts w:ascii="Times New Roman" w:hAnsi="Times New Roman" w:cs="Times New Roman"/>
          <w:bCs/>
          <w:sz w:val="24"/>
          <w:szCs w:val="24"/>
          <w:lang w:eastAsia="ja-JP"/>
        </w:rPr>
        <w:t>The nurses that were proven to be emotionally distressed were not included in the study.</w:t>
      </w:r>
    </w:p>
    <w:p>
      <w:pPr>
        <w:pStyle w:val="3"/>
        <w:rPr>
          <w:rFonts w:ascii="Times New Roman" w:hAnsi="Times New Roman" w:cs="Times New Roman"/>
          <w:b w:val="0"/>
          <w:sz w:val="24"/>
          <w:szCs w:val="24"/>
          <w:lang w:eastAsia="ja-JP"/>
        </w:rPr>
      </w:pPr>
      <w:bookmarkStart w:id="101" w:name="_Toc142753405"/>
      <w:bookmarkStart w:id="102" w:name="_Toc134604153"/>
      <w:r>
        <w:rPr>
          <w:rFonts w:ascii="Times New Roman" w:hAnsi="Times New Roman" w:cs="Times New Roman"/>
          <w:sz w:val="24"/>
          <w:szCs w:val="24"/>
          <w:lang w:eastAsia="ja-JP"/>
        </w:rPr>
        <w:t>Sampling method.</w:t>
      </w:r>
      <w:bookmarkEnd w:id="101"/>
      <w:bookmarkEnd w:id="102"/>
    </w:p>
    <w:p>
      <w:pPr>
        <w:spacing w:before="100" w:beforeAutospacing="1" w:after="100" w:afterAutospacing="1" w:line="480" w:lineRule="auto"/>
        <w:ind w:left="90" w:firstLine="630"/>
        <w:jc w:val="both"/>
        <w:rPr>
          <w:rFonts w:ascii="Times New Roman" w:hAnsi="Times New Roman" w:eastAsia="MS Mincho" w:cs="Times New Roman"/>
          <w:sz w:val="24"/>
          <w:szCs w:val="24"/>
          <w:lang w:eastAsia="ja-JP"/>
        </w:rPr>
      </w:pPr>
      <w:r>
        <w:rPr>
          <w:rFonts w:ascii="Times New Roman" w:hAnsi="Times New Roman" w:eastAsia="MS Mincho" w:cs="Times New Roman"/>
          <w:sz w:val="24"/>
          <w:szCs w:val="24"/>
          <w:lang w:eastAsia="ja-JP"/>
        </w:rPr>
        <w:t>The convenience sampling technique was employed to recruit participants for the study. A sampling of the participants was done from five different wards: Mpereza ward, (10) Main theatre, (10) Katherine ward, (10) Roybillington, (10) intensive care unit, (10) Anne walker west, (5) and Anne walker east (5). The in charges of the different words played a key role in the process of consent. This was possible in relation to the readily available sample, quick data collection, fewer rules and the low cost.</w:t>
      </w:r>
    </w:p>
    <w:p>
      <w:pPr>
        <w:pStyle w:val="3"/>
        <w:rPr>
          <w:rFonts w:ascii="Times New Roman" w:hAnsi="Times New Roman" w:cs="Times New Roman"/>
          <w:b w:val="0"/>
          <w:sz w:val="24"/>
          <w:szCs w:val="24"/>
          <w:lang w:eastAsia="ja-JP"/>
        </w:rPr>
      </w:pPr>
      <w:bookmarkStart w:id="103" w:name="_Toc142753406"/>
      <w:bookmarkStart w:id="104" w:name="_Toc134604154"/>
      <w:r>
        <w:rPr>
          <w:rFonts w:ascii="Times New Roman" w:hAnsi="Times New Roman" w:cs="Times New Roman"/>
          <w:sz w:val="24"/>
          <w:szCs w:val="24"/>
          <w:lang w:eastAsia="ja-JP"/>
        </w:rPr>
        <w:t>Data collection process and procedure.</w:t>
      </w:r>
      <w:bookmarkEnd w:id="103"/>
      <w:bookmarkEnd w:id="104"/>
      <w:r>
        <w:rPr>
          <w:rFonts w:ascii="Times New Roman" w:hAnsi="Times New Roman" w:cs="Times New Roman"/>
          <w:sz w:val="24"/>
          <w:szCs w:val="24"/>
          <w:lang w:eastAsia="ja-JP"/>
        </w:rPr>
        <w:t xml:space="preserve"> </w:t>
      </w:r>
    </w:p>
    <w:p>
      <w:pPr>
        <w:pStyle w:val="5"/>
        <w:ind w:firstLine="720"/>
        <w:jc w:val="both"/>
        <w:rPr>
          <w:rFonts w:ascii="Times New Roman" w:hAnsi="Times New Roman" w:eastAsia="MS Mincho" w:cs="Times New Roman"/>
          <w:b/>
          <w:bCs/>
          <w:i w:val="0"/>
          <w:iCs w:val="0"/>
          <w:color w:val="auto"/>
          <w:sz w:val="24"/>
          <w:szCs w:val="24"/>
          <w:lang w:eastAsia="ja-JP"/>
        </w:rPr>
      </w:pPr>
      <w:r>
        <w:rPr>
          <w:rFonts w:ascii="Times New Roman" w:hAnsi="Times New Roman" w:eastAsia="MS Mincho" w:cs="Times New Roman"/>
          <w:b/>
          <w:bCs/>
          <w:i w:val="0"/>
          <w:iCs w:val="0"/>
          <w:color w:val="auto"/>
          <w:sz w:val="24"/>
          <w:szCs w:val="24"/>
          <w:lang w:eastAsia="ja-JP"/>
        </w:rPr>
        <w:t xml:space="preserve">Intervention. </w:t>
      </w:r>
    </w:p>
    <w:p>
      <w:pPr>
        <w:spacing w:before="100" w:beforeAutospacing="1" w:after="100" w:afterAutospacing="1" w:line="480" w:lineRule="auto"/>
        <w:ind w:left="90" w:firstLine="630"/>
        <w:contextualSpacing/>
        <w:jc w:val="both"/>
        <w:rPr>
          <w:rFonts w:ascii="Times New Roman" w:hAnsi="Times New Roman" w:eastAsia="MS Mincho" w:cs="Times New Roman"/>
          <w:sz w:val="24"/>
          <w:szCs w:val="24"/>
          <w:lang w:eastAsia="ja-JP"/>
        </w:rPr>
      </w:pPr>
      <w:r>
        <w:rPr>
          <w:rFonts w:ascii="Times New Roman" w:hAnsi="Times New Roman" w:eastAsia="MS Mincho" w:cs="Times New Roman"/>
          <w:sz w:val="24"/>
          <w:szCs w:val="24"/>
          <w:lang w:eastAsia="ja-JP"/>
        </w:rPr>
        <w:t>I presented myself to the nurses and midwives at the CNE meeting and went over the meeting's purpose, study topic, purpose, objectives, questionnaire, and consent form. The in charges of different units were provided with consent forms to be distributed to the nurses/midwives willing to take part in the study. After filling in the forms, the nurses returned them to the in charges, and these were requested to consent. Whoever had signed the consent form participated in the study, and those that won’t sign were not part of the study. The participants were given my contact details regarding any questions as far as the study was concerned, and data collection was the next step. Following the pretest, the researcher illustrated how nursing practice may incorporate the pain assessment scale. The importance, application, and timing of the pain assessment scale were explained to the audience. The participants were advised to use a numerical rating scale (0–10) to quantify the patients' pain postoperatively. The participants were encouraged to assess pain 4hrly and whenever necessary being the fifth vital sign within the 1</w:t>
      </w:r>
      <w:r>
        <w:rPr>
          <w:rFonts w:ascii="Times New Roman" w:hAnsi="Times New Roman" w:eastAsia="MS Mincho" w:cs="Times New Roman"/>
          <w:sz w:val="24"/>
          <w:szCs w:val="24"/>
          <w:vertAlign w:val="superscript"/>
          <w:lang w:eastAsia="ja-JP"/>
        </w:rPr>
        <w:t>st</w:t>
      </w:r>
      <w:r>
        <w:rPr>
          <w:rFonts w:ascii="Times New Roman" w:hAnsi="Times New Roman" w:eastAsia="MS Mincho" w:cs="Times New Roman"/>
          <w:sz w:val="24"/>
          <w:szCs w:val="24"/>
          <w:lang w:eastAsia="ja-JP"/>
        </w:rPr>
        <w:t xml:space="preserve"> forty-eight hours post operatively. Before and after receiving painkillers, the subjects were instructed to rate their post-operative pain. For four weeks leading up to the post test, the study provided participants with ongoing training, mentorship, supervision, and timely feedback about the practice.</w:t>
      </w:r>
    </w:p>
    <w:p>
      <w:pPr>
        <w:spacing w:before="100" w:beforeAutospacing="1" w:after="100" w:afterAutospacing="1" w:line="480" w:lineRule="auto"/>
        <w:ind w:left="90" w:firstLine="630"/>
        <w:contextualSpacing/>
        <w:jc w:val="both"/>
        <w:rPr>
          <w:rFonts w:ascii="Times New Roman" w:hAnsi="Times New Roman" w:eastAsia="MS Mincho" w:cs="Times New Roman"/>
          <w:sz w:val="24"/>
          <w:szCs w:val="24"/>
          <w:lang w:eastAsia="ja-JP"/>
        </w:rPr>
      </w:pPr>
      <w:r>
        <w:rPr>
          <w:rFonts w:ascii="Times New Roman" w:hAnsi="Times New Roman" w:eastAsia="MS Mincho" w:cs="Times New Roman"/>
          <w:sz w:val="24"/>
          <w:szCs w:val="24"/>
          <w:lang w:eastAsia="ja-JP"/>
        </w:rPr>
        <w:t>Data was collected during morning shifts, then checked for accuracy and completeness. The questionnaires were coded with numbers in ascending order for proper accountability. Furthermore, collected data was kept in the box file, and after collection, I kept it in a safe place (under key and lock). Then, later it was entered into the computer till analysis time to ensure privacy and confidentiality. The pre-test was entered in the computer, saved under google drive to ensure proper safety, privacy and confidentiality.</w:t>
      </w:r>
    </w:p>
    <w:p>
      <w:pPr>
        <w:pStyle w:val="3"/>
        <w:rPr>
          <w:rFonts w:ascii="Times New Roman" w:hAnsi="Times New Roman" w:cs="Times New Roman"/>
          <w:b w:val="0"/>
          <w:i/>
          <w:iCs/>
          <w:sz w:val="24"/>
          <w:szCs w:val="24"/>
          <w:lang w:eastAsia="ja-JP"/>
        </w:rPr>
      </w:pPr>
      <w:bookmarkStart w:id="105" w:name="_Toc142753407"/>
      <w:r>
        <w:rPr>
          <w:rFonts w:ascii="Times New Roman" w:hAnsi="Times New Roman" w:cs="Times New Roman"/>
          <w:sz w:val="24"/>
          <w:szCs w:val="24"/>
          <w:lang w:eastAsia="ja-JP"/>
        </w:rPr>
        <w:t>Research instruments.</w:t>
      </w:r>
      <w:bookmarkEnd w:id="105"/>
    </w:p>
    <w:p>
      <w:pPr>
        <w:autoSpaceDE w:val="0"/>
        <w:autoSpaceDN w:val="0"/>
        <w:adjustRightInd w:val="0"/>
        <w:spacing w:before="100" w:beforeAutospacing="1" w:after="100" w:afterAutospacing="1" w:line="480" w:lineRule="auto"/>
        <w:ind w:left="90" w:firstLine="630"/>
        <w:jc w:val="both"/>
        <w:rPr>
          <w:rFonts w:ascii="Times New Roman" w:hAnsi="Times New Roman" w:cs="Times New Roman"/>
          <w:sz w:val="24"/>
          <w:szCs w:val="24"/>
        </w:rPr>
      </w:pPr>
      <w:r>
        <w:rPr>
          <w:rFonts w:ascii="Times New Roman" w:hAnsi="Times New Roman" w:eastAsia="MS Mincho" w:cs="Times New Roman"/>
          <w:sz w:val="24"/>
          <w:szCs w:val="24"/>
          <w:lang w:eastAsia="ja-JP"/>
        </w:rPr>
        <w:t>A tool for data collecting was created by the researcher using the earlier technologies that were used. To establish a baseline and assess the effectiveness of the educational intervention, two sets of data were collected: pre-intervention and post-intervention. Three sections of a self-administered structured questionnaire were used to obtain the data.</w:t>
      </w:r>
      <w:r>
        <w:rPr>
          <w:rFonts w:ascii="Times New Roman" w:hAnsi="Times New Roman" w:eastAsia="MS Mincho" w:cs="Times New Roman"/>
          <w:sz w:val="24"/>
          <w:szCs w:val="24"/>
        </w:rPr>
        <w:t xml:space="preserve"> Part 1: Social demographic variables (age, gender, level of education, working experience as a nurse, working experience on the surgical ward and training on pain management). Part 2: Table one was composed of 20 questions to assess nurse’s knowledge towards pain assessment with the </w:t>
      </w:r>
      <w:r>
        <w:rPr>
          <w:rFonts w:ascii="Times New Roman" w:hAnsi="Times New Roman" w:cs="Times New Roman"/>
          <w:sz w:val="24"/>
          <w:szCs w:val="24"/>
        </w:rPr>
        <w:t>highest score of 30 (100%) marks indicating better knowledge. Part 3: Table two contained 15 questions to assess nurse’s attitude on post-operative pain management. It uses a 4-point Likert scale, with Strongly agreeing to be the highest score and strongly disagreeing being the lowest (1). The positive attitude received a score of 4, whereas the negative attitude received two disagreement and one strong disagreement points.</w:t>
      </w:r>
    </w:p>
    <w:p>
      <w:pPr>
        <w:autoSpaceDE w:val="0"/>
        <w:autoSpaceDN w:val="0"/>
        <w:adjustRightInd w:val="0"/>
        <w:spacing w:before="100" w:beforeAutospacing="1" w:after="100" w:afterAutospacing="1" w:line="480" w:lineRule="auto"/>
        <w:ind w:left="90" w:firstLine="630"/>
        <w:jc w:val="both"/>
        <w:rPr>
          <w:rFonts w:ascii="Times New Roman" w:hAnsi="Times New Roman" w:cs="Times New Roman"/>
          <w:sz w:val="24"/>
          <w:szCs w:val="24"/>
        </w:rPr>
      </w:pPr>
      <w:r>
        <w:rPr>
          <w:rFonts w:ascii="Times New Roman" w:hAnsi="Times New Roman" w:cs="Times New Roman"/>
          <w:sz w:val="24"/>
          <w:szCs w:val="24"/>
        </w:rPr>
        <w:t xml:space="preserve"> A very positive attitude was scored 60 (100%) and below 70% were taken as negative attitude. The practice was assessed using a checklist before and after the intervention to check the completeness of the pain assessment scale as regards the patient’s care. The patient's case books were examined to make this possible. </w:t>
      </w:r>
    </w:p>
    <w:p>
      <w:pPr>
        <w:pStyle w:val="3"/>
        <w:rPr>
          <w:rFonts w:ascii="Times New Roman" w:hAnsi="Times New Roman" w:cs="Times New Roman"/>
          <w:b w:val="0"/>
          <w:i/>
          <w:iCs/>
          <w:sz w:val="24"/>
          <w:szCs w:val="24"/>
          <w:lang w:eastAsia="ja-JP"/>
        </w:rPr>
      </w:pPr>
      <w:bookmarkStart w:id="106" w:name="_Toc142753408"/>
      <w:r>
        <w:rPr>
          <w:rFonts w:ascii="Times New Roman" w:hAnsi="Times New Roman" w:cs="Times New Roman"/>
          <w:sz w:val="24"/>
          <w:szCs w:val="24"/>
          <w:lang w:eastAsia="ja-JP"/>
        </w:rPr>
        <w:t>Validity.</w:t>
      </w:r>
      <w:bookmarkEnd w:id="106"/>
    </w:p>
    <w:p>
      <w:pPr>
        <w:spacing w:before="100" w:beforeAutospacing="1" w:after="100" w:afterAutospacing="1" w:line="480" w:lineRule="auto"/>
        <w:ind w:left="90" w:firstLine="630"/>
        <w:jc w:val="both"/>
        <w:rPr>
          <w:rFonts w:ascii="Times New Roman" w:hAnsi="Times New Roman" w:eastAsia="MS Mincho" w:cs="Times New Roman"/>
          <w:sz w:val="24"/>
          <w:szCs w:val="24"/>
          <w:lang w:eastAsia="ja-JP"/>
        </w:rPr>
      </w:pPr>
      <w:r>
        <w:rPr>
          <w:rFonts w:ascii="Times New Roman" w:hAnsi="Times New Roman" w:eastAsia="MS Mincho" w:cs="Times New Roman"/>
          <w:sz w:val="24"/>
          <w:szCs w:val="24"/>
          <w:lang w:eastAsia="ja-JP"/>
        </w:rPr>
        <w:t xml:space="preserve">According to </w:t>
      </w:r>
      <w:r>
        <w:rPr>
          <w:rFonts w:ascii="Times New Roman" w:hAnsi="Times New Roman" w:eastAsia="MS Mincho" w:cs="Times New Roman"/>
          <w:bCs/>
          <w:sz w:val="24"/>
          <w:szCs w:val="24"/>
          <w:lang w:eastAsia="ja-JP"/>
        </w:rPr>
        <w:fldChar w:fldCharType="begin" w:fldLock="1"/>
      </w:r>
      <w:r>
        <w:rPr>
          <w:rFonts w:ascii="Times New Roman" w:hAnsi="Times New Roman" w:eastAsia="MS Mincho" w:cs="Times New Roman"/>
          <w:bCs/>
          <w:sz w:val="24"/>
          <w:szCs w:val="24"/>
          <w:lang w:eastAsia="ja-JP"/>
        </w:rPr>
        <w:instrText xml:space="preserve">ADDIN CSL_CITATION {"citationItems":[{"id":"ITEM-1","itemData":{"author":[{"dropping-particle":"","family":"Polit Denise and Cherly Beck","given":"","non-dropping-particle":"","parse-names":false,"suffix":""}],"edition":"8th Editio","id":"ITEM-1","issued":{"date-parts":[["2008"]]},"publisher":"Philadelphia","publisher-place":"Wolters Kluwer Health/Lippincott Williams &amp; Wilkins","title":"Nursing Research: Generating and Assessing Evidence for Nursing Practice","type":"book"},"uris":["http://www.mendeley.com/documents/?uuid=cb4de98c-4ee0-46be-b3e0-9ad9a18b6c45"]}],"mendeley":{"formattedCitation":"(Polit Denise and Cherly Beck, 2008)","manualFormatting":"Polit and Beck (2008)","plainTextFormattedCitation":"(Polit Denise and Cherly Beck, 2008)","previouslyFormattedCitation":"(Polit Denise and Cherly Beck, 2008)"},"properties":{"noteIndex":0},"schema":"https://github.com/citation-style-language/schema/raw/master/csl-citation.json"}</w:instrText>
      </w:r>
      <w:r>
        <w:rPr>
          <w:rFonts w:ascii="Times New Roman" w:hAnsi="Times New Roman" w:eastAsia="MS Mincho" w:cs="Times New Roman"/>
          <w:bCs/>
          <w:sz w:val="24"/>
          <w:szCs w:val="24"/>
          <w:lang w:eastAsia="ja-JP"/>
        </w:rPr>
        <w:fldChar w:fldCharType="separate"/>
      </w:r>
      <w:r>
        <w:rPr>
          <w:rFonts w:ascii="Times New Roman" w:hAnsi="Times New Roman" w:eastAsia="MS Mincho" w:cs="Times New Roman"/>
          <w:bCs/>
          <w:sz w:val="24"/>
          <w:szCs w:val="24"/>
          <w:lang w:eastAsia="ja-JP"/>
        </w:rPr>
        <w:t>Polit and Beck (2008)</w:t>
      </w:r>
      <w:r>
        <w:rPr>
          <w:rFonts w:ascii="Times New Roman" w:hAnsi="Times New Roman" w:eastAsia="MS Mincho" w:cs="Times New Roman"/>
          <w:bCs/>
          <w:sz w:val="24"/>
          <w:szCs w:val="24"/>
          <w:lang w:eastAsia="ja-JP"/>
        </w:rPr>
        <w:fldChar w:fldCharType="end"/>
      </w:r>
      <w:r>
        <w:rPr>
          <w:rFonts w:ascii="Times New Roman" w:hAnsi="Times New Roman" w:eastAsia="MS Mincho" w:cs="Times New Roman"/>
          <w:bCs/>
          <w:sz w:val="24"/>
          <w:szCs w:val="24"/>
          <w:lang w:eastAsia="ja-JP"/>
        </w:rPr>
        <w:t xml:space="preserve"> </w:t>
      </w:r>
      <w:r>
        <w:rPr>
          <w:rFonts w:ascii="Times New Roman" w:hAnsi="Times New Roman" w:eastAsia="MS Mincho" w:cs="Times New Roman"/>
          <w:sz w:val="24"/>
          <w:szCs w:val="24"/>
          <w:lang w:eastAsia="ja-JP"/>
        </w:rPr>
        <w:t xml:space="preserve">validity is a measuring criterion that refers to how well-founded and accurate the study's conclusions are, as well as how well an instrument performs its intended function. The purpose of the questionnaire was to evaluate the nurse's understanding of and attitude toward post-operative pain treatment. The tool was reviewed by the supervisors, then applied to the study after approval for quality control. </w:t>
      </w:r>
    </w:p>
    <w:p>
      <w:pPr>
        <w:pStyle w:val="3"/>
        <w:rPr>
          <w:rFonts w:ascii="Times New Roman" w:hAnsi="Times New Roman" w:cs="Times New Roman"/>
          <w:b w:val="0"/>
          <w:i/>
          <w:iCs/>
          <w:sz w:val="24"/>
          <w:szCs w:val="24"/>
          <w:lang w:eastAsia="ja-JP"/>
        </w:rPr>
      </w:pPr>
      <w:bookmarkStart w:id="107" w:name="_Toc142753409"/>
      <w:r>
        <w:rPr>
          <w:rFonts w:ascii="Times New Roman" w:hAnsi="Times New Roman" w:cs="Times New Roman"/>
          <w:sz w:val="24"/>
          <w:szCs w:val="24"/>
          <w:lang w:eastAsia="ja-JP"/>
        </w:rPr>
        <w:t>Reliability.</w:t>
      </w:r>
      <w:bookmarkEnd w:id="107"/>
    </w:p>
    <w:p>
      <w:pPr>
        <w:rPr>
          <w:rFonts w:ascii="Times New Roman" w:hAnsi="Times New Roman" w:cs="Times New Roman"/>
          <w:sz w:val="24"/>
          <w:szCs w:val="24"/>
          <w:lang w:eastAsia="ja-JP"/>
        </w:rPr>
      </w:pPr>
    </w:p>
    <w:p>
      <w:pPr>
        <w:spacing w:before="100" w:beforeAutospacing="1" w:after="100" w:afterAutospacing="1" w:line="480" w:lineRule="auto"/>
        <w:ind w:left="90" w:firstLine="630"/>
        <w:jc w:val="both"/>
        <w:rPr>
          <w:rFonts w:ascii="Times New Roman" w:hAnsi="Times New Roman" w:eastAsia="MS Mincho" w:cs="Times New Roman"/>
          <w:bCs/>
          <w:sz w:val="24"/>
          <w:szCs w:val="24"/>
          <w:lang w:eastAsia="ja-JP"/>
        </w:rPr>
      </w:pPr>
      <w:r>
        <w:rPr>
          <w:rFonts w:ascii="Times New Roman" w:hAnsi="Times New Roman" w:eastAsia="MS Mincho" w:cs="Times New Roman"/>
          <w:sz w:val="24"/>
          <w:szCs w:val="24"/>
          <w:lang w:eastAsia="ja-JP"/>
        </w:rPr>
        <w:t>The consistency or dependability with which an instrument measures an attribute is indicated by this(</w:t>
      </w:r>
      <w:r>
        <w:rPr>
          <w:rFonts w:ascii="Times New Roman" w:hAnsi="Times New Roman" w:eastAsia="MS Mincho" w:cs="Times New Roman"/>
          <w:bCs/>
          <w:sz w:val="24"/>
          <w:szCs w:val="24"/>
          <w:lang w:eastAsia="ja-JP"/>
        </w:rPr>
        <w:fldChar w:fldCharType="begin" w:fldLock="1"/>
      </w:r>
      <w:r>
        <w:rPr>
          <w:rFonts w:ascii="Times New Roman" w:hAnsi="Times New Roman" w:eastAsia="MS Mincho" w:cs="Times New Roman"/>
          <w:bCs/>
          <w:sz w:val="24"/>
          <w:szCs w:val="24"/>
          <w:lang w:eastAsia="ja-JP"/>
        </w:rPr>
        <w:instrText xml:space="preserve">ADDIN CSL_CITATION {"citationItems":[{"id":"ITEM-1","itemData":{"author":[{"dropping-particle":"","family":"F., Denise, Polit and T. Cherry","given":"Beck","non-dropping-particle":"","parse-names":false,"suffix":""}],"edition":"8th Editio","id":"ITEM-1","issued":{"date-parts":[["2008"]]},"publisher":"Philadelphia : Wolters Kluwer Health /Lippincott Williams &amp; Wilkins","title":"Nursing Research: Generating and Assessing Evidence for Nursing Practice","type":"book"},"uris":["http://www.mendeley.com/documents/?uuid=d804bb47-13cf-42b5-bee6-d6859ffebf19"]}],"mendeley":{"formattedCitation":"(F., Denise, Polit and T. Cherry, 2008)","manualFormatting":"Polit and Beck (2008)","plainTextFormattedCitation":"(F., Denise, Polit and T. Cherry, 2008)","previouslyFormattedCitation":"(F., Denise, Polit and T. Cherry, 2008)"},"properties":{"noteIndex":0},"schema":"https://github.com/citation-style-language/schema/raw/master/csl-citation.json"}</w:instrText>
      </w:r>
      <w:r>
        <w:rPr>
          <w:rFonts w:ascii="Times New Roman" w:hAnsi="Times New Roman" w:eastAsia="MS Mincho" w:cs="Times New Roman"/>
          <w:bCs/>
          <w:sz w:val="24"/>
          <w:szCs w:val="24"/>
          <w:lang w:eastAsia="ja-JP"/>
        </w:rPr>
        <w:fldChar w:fldCharType="separate"/>
      </w:r>
      <w:r>
        <w:rPr>
          <w:rFonts w:ascii="Times New Roman" w:hAnsi="Times New Roman" w:eastAsia="MS Mincho" w:cs="Times New Roman"/>
          <w:bCs/>
          <w:sz w:val="24"/>
          <w:szCs w:val="24"/>
          <w:lang w:eastAsia="ja-JP"/>
        </w:rPr>
        <w:t>Polit &amp;  Beck ;2008)</w:t>
      </w:r>
      <w:r>
        <w:rPr>
          <w:rFonts w:ascii="Times New Roman" w:hAnsi="Times New Roman" w:eastAsia="MS Mincho" w:cs="Times New Roman"/>
          <w:bCs/>
          <w:sz w:val="24"/>
          <w:szCs w:val="24"/>
          <w:lang w:eastAsia="ja-JP"/>
        </w:rPr>
        <w:fldChar w:fldCharType="end"/>
      </w:r>
      <w:r>
        <w:rPr>
          <w:rFonts w:ascii="Times New Roman" w:hAnsi="Times New Roman" w:eastAsia="MS Mincho" w:cs="Times New Roman"/>
          <w:bCs/>
          <w:sz w:val="24"/>
          <w:szCs w:val="24"/>
          <w:lang w:eastAsia="ja-JP"/>
        </w:rPr>
        <w:t>.</w:t>
      </w:r>
      <w:r>
        <w:rPr>
          <w:rFonts w:ascii="Times New Roman" w:hAnsi="Times New Roman" w:eastAsia="MS Mincho" w:cs="Times New Roman"/>
          <w:sz w:val="24"/>
          <w:szCs w:val="24"/>
          <w:lang w:eastAsia="ja-JP"/>
        </w:rPr>
        <w:t xml:space="preserve"> As a result, reliability was attained by testing my tool in a pilot setting before its intended use to ensure that it will function as intended. In addition, the alpha coefficient was calculated to find out if the pretest has accurately measured the variable of interest </w:t>
      </w:r>
      <w:r>
        <w:rPr>
          <w:rFonts w:ascii="Times New Roman" w:hAnsi="Times New Roman" w:eastAsia="MS Mincho" w:cs="Times New Roman"/>
          <w:bCs/>
          <w:sz w:val="24"/>
          <w:szCs w:val="24"/>
          <w:lang w:eastAsia="ja-JP"/>
        </w:rPr>
        <w:fldChar w:fldCharType="begin" w:fldLock="1"/>
      </w:r>
      <w:r>
        <w:rPr>
          <w:rFonts w:ascii="Times New Roman" w:hAnsi="Times New Roman" w:eastAsia="MS Mincho" w:cs="Times New Roman"/>
          <w:bCs/>
          <w:sz w:val="24"/>
          <w:szCs w:val="24"/>
          <w:lang w:eastAsia="ja-JP"/>
        </w:rPr>
        <w:instrText xml:space="preserve">ADDIN CSL_CITATION {"citationItems":[{"id":"ITEM-1","itemData":{"author":[{"dropping-particle":"","family":"Polit","given":"Denise F.","non-dropping-particle":"","parse-names":false,"suffix":""},{"dropping-particle":"","family":"Beck","given":"Cheryl Tatano","non-dropping-particle":"","parse-names":false,"suffix":""}],"edition":"Tenth edit","id":"ITEM-1","issued":{"date-parts":[["2017"]]},"publisher":"Philadelphia : Wolters Kluwer Health","title":"Nursing research: generating and assessing evidence for nursing practice","type":"book"},"uris":["http://www.mendeley.com/documents/?uuid=66c9d9f2-0582-416b-a38a-e7dd4be2543d"]}],"mendeley":{"formattedCitation":"(Polit &amp; Beck, 2017)","plainTextFormattedCitation":"(Polit &amp; Beck, 2017)","previouslyFormattedCitation":"(Polit &amp; Beck, 2017)"},"properties":{"noteIndex":0},"schema":"https://github.com/citation-style-language/schema/raw/master/csl-citation.json"}</w:instrText>
      </w:r>
      <w:r>
        <w:rPr>
          <w:rFonts w:ascii="Times New Roman" w:hAnsi="Times New Roman" w:eastAsia="MS Mincho" w:cs="Times New Roman"/>
          <w:bCs/>
          <w:sz w:val="24"/>
          <w:szCs w:val="24"/>
          <w:lang w:eastAsia="ja-JP"/>
        </w:rPr>
        <w:fldChar w:fldCharType="separate"/>
      </w:r>
      <w:r>
        <w:rPr>
          <w:rFonts w:ascii="Times New Roman" w:hAnsi="Times New Roman" w:eastAsia="MS Mincho" w:cs="Times New Roman"/>
          <w:bCs/>
          <w:sz w:val="24"/>
          <w:szCs w:val="24"/>
          <w:lang w:eastAsia="ja-JP"/>
        </w:rPr>
        <w:t>(Polit &amp; Beck, 2017)</w:t>
      </w:r>
      <w:r>
        <w:rPr>
          <w:rFonts w:ascii="Times New Roman" w:hAnsi="Times New Roman" w:eastAsia="MS Mincho" w:cs="Times New Roman"/>
          <w:bCs/>
          <w:sz w:val="24"/>
          <w:szCs w:val="24"/>
          <w:lang w:eastAsia="ja-JP"/>
        </w:rPr>
        <w:fldChar w:fldCharType="end"/>
      </w:r>
      <w:r>
        <w:rPr>
          <w:rFonts w:ascii="Times New Roman" w:hAnsi="Times New Roman" w:eastAsia="MS Mincho" w:cs="Times New Roman"/>
          <w:bCs/>
          <w:sz w:val="24"/>
          <w:szCs w:val="24"/>
          <w:lang w:eastAsia="ja-JP"/>
        </w:rPr>
        <w:t>.</w:t>
      </w:r>
    </w:p>
    <w:p>
      <w:pPr>
        <w:spacing w:before="100" w:beforeAutospacing="1" w:after="100" w:afterAutospacing="1" w:line="480" w:lineRule="auto"/>
        <w:ind w:left="90" w:firstLine="630"/>
        <w:jc w:val="both"/>
        <w:rPr>
          <w:rFonts w:ascii="Times New Roman" w:hAnsi="Times New Roman" w:eastAsia="MS Mincho" w:cs="Times New Roman"/>
          <w:sz w:val="24"/>
          <w:szCs w:val="24"/>
          <w:lang w:eastAsia="ja-JP"/>
        </w:rPr>
      </w:pPr>
      <w:r>
        <w:rPr>
          <w:rFonts w:ascii="Times New Roman" w:hAnsi="Times New Roman" w:cs="Times New Roman"/>
          <w:b/>
          <w:bCs/>
          <w:i/>
          <w:sz w:val="24"/>
          <w:szCs w:val="24"/>
        </w:rPr>
        <w:drawing>
          <wp:inline distT="0" distB="0" distL="0" distR="0">
            <wp:extent cx="3478530" cy="594995"/>
            <wp:effectExtent l="0" t="0" r="7620" b="0"/>
            <wp:docPr id="24" name="Picture 24" descr="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en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493559" cy="597546"/>
                    </a:xfrm>
                    <a:prstGeom prst="rect">
                      <a:avLst/>
                    </a:prstGeom>
                    <a:noFill/>
                    <a:ln>
                      <a:noFill/>
                    </a:ln>
                  </pic:spPr>
                </pic:pic>
              </a:graphicData>
            </a:graphic>
          </wp:inline>
        </w:drawing>
      </w:r>
    </w:p>
    <w:p>
      <w:pPr>
        <w:shd w:val="clear" w:color="auto" w:fill="FFFFFF"/>
        <w:spacing w:after="0" w:line="240" w:lineRule="auto"/>
        <w:ind w:left="90" w:firstLine="630"/>
        <w:jc w:val="both"/>
        <w:rPr>
          <w:rFonts w:ascii="Times New Roman" w:hAnsi="Times New Roman" w:eastAsia="Times New Roman" w:cs="Times New Roman"/>
          <w:color w:val="1A1A1A"/>
          <w:sz w:val="24"/>
          <w:szCs w:val="24"/>
        </w:rPr>
      </w:pPr>
      <w:r>
        <w:rPr>
          <w:rFonts w:ascii="Times New Roman" w:hAnsi="Times New Roman" w:eastAsia="Times New Roman" w:cs="Times New Roman"/>
          <w:color w:val="1A1A1A"/>
          <w:sz w:val="24"/>
          <w:szCs w:val="24"/>
        </w:rPr>
        <w:t xml:space="preserve">k represents the number of items used for measurement                                                         </w:t>
      </w:r>
      <w:r>
        <w:rPr>
          <w:rFonts w:ascii="Times New Roman" w:hAnsi="Times New Roman" w:cs="Times New Roman"/>
          <w:sz w:val="24"/>
          <w:szCs w:val="24"/>
        </w:rPr>
        <mc:AlternateContent>
          <mc:Choice Requires="wps">
            <w:drawing>
              <wp:inline distT="0" distB="0" distL="0" distR="0">
                <wp:extent cx="304800" cy="304800"/>
                <wp:effectExtent l="0" t="0" r="0" b="0"/>
                <wp:docPr id="29" name="Rectangl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Rectangle 29"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fMlnTSAAAAAwEAAA8AAAAAAAAAAQAgAAAAIgAAAGRycy9kb3du&#10;cmV2LnhtbFBLAQIUABQAAAAIAIdO4kAvVXU3BQIAAB8EAAAOAAAAAAAAAAEAIAAAACEBAABkcnMv&#10;ZTJvRG9jLnhtbFBLBQYAAAAABgAGAFkBAACYBQAAAAA=&#10;">
                <v:fill on="f" focussize="0,0"/>
                <v:stroke on="f"/>
                <v:imagedata o:title=""/>
                <o:lock v:ext="edit" aspectratio="t"/>
                <v:textbox>
                  <w:txbxContent>
                    <w:p>
                      <w:pPr>
                        <w:jc w:val="center"/>
                      </w:pPr>
                    </w:p>
                  </w:txbxContent>
                </v:textbox>
                <w10:wrap type="none"/>
                <w10:anchorlock/>
              </v:rect>
            </w:pict>
          </mc:Fallback>
        </mc:AlternateContent>
      </w:r>
      <w:r>
        <w:rPr>
          <w:rFonts w:ascii="Times New Roman" w:hAnsi="Times New Roman" w:eastAsia="Times New Roman" w:cs="Times New Roman"/>
          <w:color w:val="1A1A1A"/>
          <w:sz w:val="24"/>
          <w:szCs w:val="24"/>
        </w:rPr>
        <w:drawing>
          <wp:inline distT="0" distB="0" distL="0" distR="0">
            <wp:extent cx="259080" cy="320040"/>
            <wp:effectExtent l="0" t="0" r="762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9080" cy="320040"/>
                    </a:xfrm>
                    <a:prstGeom prst="rect">
                      <a:avLst/>
                    </a:prstGeom>
                    <a:noFill/>
                    <a:ln>
                      <a:noFill/>
                    </a:ln>
                  </pic:spPr>
                </pic:pic>
              </a:graphicData>
            </a:graphic>
          </wp:inline>
        </w:drawing>
      </w:r>
      <w:r>
        <w:rPr>
          <w:rFonts w:ascii="Times New Roman" w:hAnsi="Times New Roman" w:eastAsia="Times New Roman" w:cs="Times New Roman"/>
          <w:color w:val="1A1A1A"/>
          <w:sz w:val="24"/>
          <w:szCs w:val="24"/>
        </w:rPr>
        <w:t xml:space="preserve">represents the variance of the score (measured value) of the i-th item                         </w:t>
      </w:r>
      <w:r>
        <w:rPr>
          <w:rFonts w:ascii="Times New Roman" w:hAnsi="Times New Roman" w:cs="Times New Roman"/>
          <w:sz w:val="24"/>
          <w:szCs w:val="24"/>
        </w:rPr>
        <mc:AlternateContent>
          <mc:Choice Requires="wps">
            <w:drawing>
              <wp:inline distT="0" distB="0" distL="0" distR="0">
                <wp:extent cx="304800" cy="304800"/>
                <wp:effectExtent l="0" t="0" r="0" b="0"/>
                <wp:docPr id="28"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Rectangle 28"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fMlnTSAAAAAwEAAA8AAAAAAAAAAQAgAAAAIgAAAGRycy9kb3du&#10;cmV2LnhtbFBLAQIUABQAAAAIAIdO4kACvKx5BQIAAB8EAAAOAAAAAAAAAAEAIAAAACEBAABkcnMv&#10;ZTJvRG9jLnhtbFBLBQYAAAAABgAGAFkBAACYBQAAAAA=&#10;">
                <v:fill on="f" focussize="0,0"/>
                <v:stroke on="f"/>
                <v:imagedata o:title=""/>
                <o:lock v:ext="edit" aspectratio="t"/>
                <v:textbox>
                  <w:txbxContent>
                    <w:p>
                      <w:pPr>
                        <w:jc w:val="center"/>
                      </w:pPr>
                    </w:p>
                  </w:txbxContent>
                </v:textbox>
                <w10:wrap type="none"/>
                <w10:anchorlock/>
              </v:rect>
            </w:pict>
          </mc:Fallback>
        </mc:AlternateContent>
      </w:r>
      <w:r>
        <w:rPr>
          <w:rFonts w:ascii="Times New Roman" w:hAnsi="Times New Roman" w:eastAsia="Times New Roman" w:cs="Times New Roman"/>
          <w:color w:val="1A1A1A"/>
          <w:sz w:val="24"/>
          <w:szCs w:val="24"/>
        </w:rPr>
        <w:drawing>
          <wp:inline distT="0" distB="0" distL="0" distR="0">
            <wp:extent cx="297180" cy="320040"/>
            <wp:effectExtent l="0" t="0" r="762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97180" cy="320040"/>
                    </a:xfrm>
                    <a:prstGeom prst="rect">
                      <a:avLst/>
                    </a:prstGeom>
                    <a:noFill/>
                    <a:ln>
                      <a:noFill/>
                    </a:ln>
                  </pic:spPr>
                </pic:pic>
              </a:graphicData>
            </a:graphic>
          </wp:inline>
        </w:drawing>
      </w:r>
      <w:r>
        <w:rPr>
          <w:rFonts w:ascii="Times New Roman" w:hAnsi="Times New Roman" w:eastAsia="Times New Roman" w:cs="Times New Roman"/>
          <w:color w:val="1A1A1A"/>
          <w:sz w:val="24"/>
          <w:szCs w:val="24"/>
        </w:rPr>
        <w:t>Is the variance of the total score of the scale.</w:t>
      </w:r>
    </w:p>
    <w:p>
      <w:pPr>
        <w:shd w:val="clear" w:color="auto" w:fill="FFFFFF"/>
        <w:spacing w:after="0" w:line="240" w:lineRule="auto"/>
        <w:ind w:left="90" w:firstLine="630"/>
        <w:jc w:val="both"/>
        <w:rPr>
          <w:rFonts w:ascii="Times New Roman" w:hAnsi="Times New Roman" w:eastAsia="Times New Roman" w:cs="Times New Roman"/>
          <w:color w:val="1A1A1A"/>
          <w:sz w:val="24"/>
          <w:szCs w:val="24"/>
        </w:rPr>
      </w:pPr>
      <w:r>
        <w:rPr>
          <w:rFonts w:ascii="Times New Roman" w:hAnsi="Times New Roman" w:eastAsia="Times New Roman" w:cs="Times New Roman"/>
          <w:color w:val="1A1A1A"/>
          <w:sz w:val="24"/>
          <w:szCs w:val="24"/>
        </w:rPr>
        <w:t>Variance calculation formula</w:t>
      </w:r>
    </w:p>
    <w:p>
      <w:pPr>
        <w:shd w:val="clear" w:color="auto" w:fill="FFFFFF"/>
        <w:spacing w:after="0" w:line="240" w:lineRule="auto"/>
        <w:ind w:left="90" w:firstLine="630"/>
        <w:jc w:val="both"/>
        <w:rPr>
          <w:rFonts w:ascii="Times New Roman" w:hAnsi="Times New Roman" w:eastAsia="Times New Roman" w:cs="Times New Roman"/>
          <w:color w:val="1A1A1A"/>
          <w:sz w:val="24"/>
          <w:szCs w:val="24"/>
        </w:rPr>
      </w:pPr>
      <w:r>
        <w:rPr>
          <w:rFonts w:ascii="Times New Roman" w:hAnsi="Times New Roman" w:eastAsia="Times New Roman" w:cs="Times New Roman"/>
          <w:color w:val="1A1A1A"/>
          <w:sz w:val="24"/>
          <w:szCs w:val="24"/>
        </w:rPr>
        <w:t>/</w:t>
      </w:r>
    </w:p>
    <w:p>
      <w:pPr>
        <w:shd w:val="clear" w:color="auto" w:fill="FFFFFF"/>
        <w:spacing w:after="0" w:line="240" w:lineRule="auto"/>
        <w:ind w:left="90" w:firstLine="630"/>
        <w:jc w:val="both"/>
        <w:rPr>
          <w:rFonts w:ascii="Times New Roman" w:hAnsi="Times New Roman" w:eastAsia="Times New Roman" w:cs="Times New Roman"/>
          <w:color w:val="1A1A1A"/>
          <w:sz w:val="24"/>
          <w:szCs w:val="24"/>
        </w:rPr>
      </w:pPr>
    </w:p>
    <w:p>
      <w:pPr>
        <w:shd w:val="clear" w:color="auto" w:fill="FFFFFF"/>
        <w:spacing w:after="0" w:line="240" w:lineRule="auto"/>
        <w:ind w:left="90" w:firstLine="630"/>
        <w:jc w:val="both"/>
        <w:rPr>
          <w:rFonts w:ascii="Times New Roman" w:hAnsi="Times New Roman" w:eastAsia="Times New Roman" w:cs="Times New Roman"/>
          <w:color w:val="1A1A1A"/>
          <w:sz w:val="24"/>
          <w:szCs w:val="24"/>
        </w:rPr>
      </w:pPr>
    </w:p>
    <w:p>
      <w:pPr>
        <w:shd w:val="clear" w:color="auto" w:fill="FFFFFF"/>
        <w:spacing w:after="0" w:line="240" w:lineRule="auto"/>
        <w:ind w:left="90" w:firstLine="630"/>
        <w:jc w:val="both"/>
        <w:rPr>
          <w:rFonts w:ascii="Times New Roman" w:hAnsi="Times New Roman" w:eastAsia="Times New Roman" w:cs="Times New Roman"/>
          <w:color w:val="1A1A1A"/>
          <w:sz w:val="24"/>
          <w:szCs w:val="24"/>
        </w:rPr>
      </w:pPr>
      <w:r>
        <w:rPr>
          <w:rFonts w:ascii="Times New Roman" w:hAnsi="Times New Roman" w:eastAsia="Times New Roman" w:cs="Times New Roman"/>
          <w:color w:val="1A1A1A"/>
          <w:sz w:val="24"/>
          <w:szCs w:val="24"/>
        </w:rPr>
        <w:t>in the midst of t</w:t>
      </w:r>
      <w:r>
        <w:rPr>
          <w:rFonts w:ascii="Times New Roman" w:hAnsi="Times New Roman" w:eastAsia="Times New Roman" w:cs="Times New Roman"/>
          <w:color w:val="1A1A1A"/>
          <w:sz w:val="24"/>
          <w:szCs w:val="24"/>
        </w:rPr>
        <w:drawing>
          <wp:inline distT="0" distB="0" distL="0" distR="0">
            <wp:extent cx="4283710" cy="744855"/>
            <wp:effectExtent l="0" t="0" r="2540" b="0"/>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291379" cy="746760"/>
                    </a:xfrm>
                    <a:prstGeom prst="rect">
                      <a:avLst/>
                    </a:prstGeom>
                    <a:noFill/>
                    <a:ln>
                      <a:noFill/>
                    </a:ln>
                  </pic:spPr>
                </pic:pic>
              </a:graphicData>
            </a:graphic>
          </wp:inline>
        </w:drawing>
      </w:r>
      <w:r>
        <w:rPr>
          <w:rFonts w:ascii="Times New Roman" w:hAnsi="Times New Roman" w:eastAsia="Times New Roman" w:cs="Times New Roman"/>
          <w:color w:val="1A1A1A"/>
          <w:sz w:val="24"/>
          <w:szCs w:val="24"/>
        </w:rPr>
        <w:t>hem</w:t>
      </w:r>
      <w:r>
        <w:rPr>
          <w:rFonts w:ascii="Times New Roman" w:hAnsi="Times New Roman" w:eastAsia="Times New Roman" w:cs="Times New Roman"/>
          <w:color w:val="1A1A1A"/>
          <w:sz w:val="24"/>
          <w:szCs w:val="24"/>
        </w:rPr>
        <w:drawing>
          <wp:inline distT="0" distB="0" distL="0" distR="0">
            <wp:extent cx="220980" cy="3048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20980" cy="304800"/>
                    </a:xfrm>
                    <a:prstGeom prst="rect">
                      <a:avLst/>
                    </a:prstGeom>
                    <a:noFill/>
                    <a:ln>
                      <a:noFill/>
                    </a:ln>
                  </pic:spPr>
                </pic:pic>
              </a:graphicData>
            </a:graphic>
          </wp:inline>
        </w:drawing>
      </w:r>
      <w:r>
        <w:rPr>
          <w:rFonts w:ascii="Times New Roman" w:hAnsi="Times New Roman" w:cs="Times New Roman"/>
          <w:sz w:val="24"/>
          <w:szCs w:val="24"/>
        </w:rPr>
        <mc:AlternateContent>
          <mc:Choice Requires="wps">
            <w:drawing>
              <wp:inline distT="0" distB="0" distL="0" distR="0">
                <wp:extent cx="304800" cy="304800"/>
                <wp:effectExtent l="0" t="0" r="0" b="0"/>
                <wp:docPr id="27" name="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Rectangle 27"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fMlnTSAAAAAwEAAA8AAAAAAAAAAQAgAAAAIgAAAGRycy9kb3du&#10;cmV2LnhtbFBLAQIUABQAAAAIAIdO4kArZoxRBQIAAB8EAAAOAAAAAAAAAAEAIAAAACEBAABkcnMv&#10;ZTJvRG9jLnhtbFBLBQYAAAAABgAGAFkBAACYBQAAAAA=&#10;">
                <v:fill on="f" focussize="0,0"/>
                <v:stroke on="f"/>
                <v:imagedata o:title=""/>
                <o:lock v:ext="edit" aspectratio="t"/>
                <v:textbox>
                  <w:txbxContent>
                    <w:p>
                      <w:pPr>
                        <w:jc w:val="center"/>
                      </w:pPr>
                    </w:p>
                  </w:txbxContent>
                </v:textbox>
                <w10:wrap type="none"/>
                <w10:anchorlock/>
              </v:rect>
            </w:pict>
          </mc:Fallback>
        </mc:AlternateContent>
      </w:r>
      <w:r>
        <w:rPr>
          <w:rFonts w:ascii="Times New Roman" w:hAnsi="Times New Roman" w:eastAsia="Times New Roman" w:cs="Times New Roman"/>
          <w:color w:val="1A1A1A"/>
          <w:sz w:val="24"/>
          <w:szCs w:val="24"/>
        </w:rPr>
        <w:t>represents the average.</w:t>
      </w:r>
    </w:p>
    <w:p>
      <w:pPr>
        <w:pStyle w:val="4"/>
        <w:ind w:left="90" w:firstLine="630"/>
        <w:jc w:val="both"/>
        <w:rPr>
          <w:rFonts w:ascii="Times New Roman" w:hAnsi="Times New Roman" w:eastAsia="MS Mincho" w:cs="Times New Roman"/>
          <w:b/>
          <w:bCs/>
          <w:color w:val="auto"/>
          <w:lang w:eastAsia="ja-JP"/>
        </w:rPr>
      </w:pPr>
    </w:p>
    <w:p>
      <w:pPr>
        <w:pStyle w:val="3"/>
        <w:rPr>
          <w:rFonts w:ascii="Times New Roman" w:hAnsi="Times New Roman" w:cs="Times New Roman"/>
          <w:b w:val="0"/>
          <w:sz w:val="24"/>
          <w:szCs w:val="24"/>
          <w:lang w:eastAsia="ja-JP"/>
        </w:rPr>
      </w:pPr>
      <w:bookmarkStart w:id="108" w:name="_Toc142753410"/>
      <w:bookmarkStart w:id="109" w:name="_Toc134604155"/>
      <w:r>
        <w:rPr>
          <w:rFonts w:ascii="Times New Roman" w:hAnsi="Times New Roman" w:cs="Times New Roman"/>
          <w:sz w:val="24"/>
          <w:szCs w:val="24"/>
          <w:lang w:eastAsia="ja-JP"/>
        </w:rPr>
        <w:t>Data management plan and analysis</w:t>
      </w:r>
      <w:bookmarkEnd w:id="108"/>
      <w:bookmarkEnd w:id="109"/>
    </w:p>
    <w:p>
      <w:pPr>
        <w:pStyle w:val="5"/>
        <w:ind w:firstLine="720"/>
        <w:jc w:val="both"/>
        <w:rPr>
          <w:rFonts w:ascii="Times New Roman" w:hAnsi="Times New Roman" w:eastAsia="MS Mincho" w:cs="Times New Roman"/>
          <w:b/>
          <w:bCs/>
          <w:i w:val="0"/>
          <w:iCs w:val="0"/>
          <w:color w:val="auto"/>
          <w:sz w:val="24"/>
          <w:szCs w:val="24"/>
          <w:lang w:eastAsia="ja-JP"/>
        </w:rPr>
      </w:pPr>
      <w:r>
        <w:rPr>
          <w:rFonts w:ascii="Times New Roman" w:hAnsi="Times New Roman" w:eastAsia="MS Mincho" w:cs="Times New Roman"/>
          <w:b/>
          <w:bCs/>
          <w:i w:val="0"/>
          <w:iCs w:val="0"/>
          <w:color w:val="auto"/>
          <w:sz w:val="24"/>
          <w:szCs w:val="24"/>
          <w:lang w:eastAsia="ja-JP"/>
        </w:rPr>
        <w:t>Analysis plan.</w:t>
      </w:r>
    </w:p>
    <w:p>
      <w:pPr>
        <w:spacing w:before="100" w:beforeAutospacing="1" w:after="100" w:afterAutospacing="1" w:line="480" w:lineRule="auto"/>
        <w:ind w:left="90" w:firstLine="630"/>
        <w:jc w:val="both"/>
        <w:rPr>
          <w:rFonts w:ascii="Times New Roman" w:hAnsi="Times New Roman" w:eastAsia="MS Mincho" w:cs="Times New Roman"/>
          <w:bCs/>
          <w:sz w:val="24"/>
          <w:szCs w:val="24"/>
          <w:lang w:eastAsia="ja-JP"/>
        </w:rPr>
      </w:pPr>
      <w:r>
        <w:rPr>
          <w:rFonts w:ascii="Times New Roman" w:hAnsi="Times New Roman" w:eastAsia="MS Mincho" w:cs="Times New Roman"/>
          <w:bCs/>
          <w:sz w:val="24"/>
          <w:szCs w:val="24"/>
          <w:lang w:eastAsia="ja-JP"/>
        </w:rPr>
        <w:t>Data analysis was conducted under the following steps: pre analytical phase, univariant, and bivariant analysis. In the pre-analytical phase, data cleaning was done to check completeness of the questionnaire. The frequencies were run to ensure the completeness of the data and coding of questions in accordance to how it was entered in SPSS.  The univariant analysis was conducted and the findings with the demographic characteristics of knowledge were presented in a frequency distribution table, histogram and pie charts. The frequencies, means and standard deviation of the attitude statements were presented in a table. The frequencies of the pre and posttest findings of knowledge and attitude were presented in charts (histogram). The total scores of the knowledge and attitude were categorized and presented in the pie charts.</w:t>
      </w:r>
    </w:p>
    <w:p>
      <w:pPr>
        <w:pStyle w:val="5"/>
        <w:ind w:firstLine="720"/>
        <w:jc w:val="both"/>
        <w:rPr>
          <w:rFonts w:ascii="Times New Roman" w:hAnsi="Times New Roman" w:eastAsia="MS Mincho" w:cs="Times New Roman"/>
          <w:b/>
          <w:bCs/>
          <w:i w:val="0"/>
          <w:iCs w:val="0"/>
          <w:color w:val="auto"/>
          <w:sz w:val="24"/>
          <w:szCs w:val="24"/>
          <w:lang w:eastAsia="ja-JP"/>
        </w:rPr>
      </w:pPr>
      <w:r>
        <w:rPr>
          <w:rFonts w:ascii="Times New Roman" w:hAnsi="Times New Roman" w:eastAsia="MS Mincho" w:cs="Times New Roman"/>
          <w:b/>
          <w:bCs/>
          <w:i w:val="0"/>
          <w:iCs w:val="0"/>
          <w:color w:val="auto"/>
          <w:sz w:val="24"/>
          <w:szCs w:val="24"/>
          <w:lang w:eastAsia="ja-JP"/>
        </w:rPr>
        <w:t>Bivariant analysis.</w:t>
      </w:r>
    </w:p>
    <w:p>
      <w:pPr>
        <w:spacing w:before="100" w:beforeAutospacing="1" w:after="100" w:afterAutospacing="1" w:line="480" w:lineRule="auto"/>
        <w:ind w:left="90" w:firstLine="630"/>
        <w:jc w:val="both"/>
        <w:rPr>
          <w:rFonts w:ascii="Times New Roman" w:hAnsi="Times New Roman" w:eastAsia="MS Mincho" w:cs="Times New Roman"/>
          <w:bCs/>
          <w:sz w:val="24"/>
          <w:szCs w:val="24"/>
          <w:lang w:eastAsia="ja-JP"/>
        </w:rPr>
      </w:pPr>
      <w:r>
        <w:rPr>
          <w:rFonts w:ascii="Times New Roman" w:hAnsi="Times New Roman" w:eastAsia="MS Mincho" w:cs="Times New Roman"/>
          <w:bCs/>
          <w:sz w:val="24"/>
          <w:szCs w:val="24"/>
          <w:lang w:eastAsia="ja-JP"/>
        </w:rPr>
        <w:t xml:space="preserve">To investigate the link between demographic traits, post-operative pain management knowledge, and attitude, a chi-square independent test was conducted. Therefore, this test was run to see if there was any correlation between the variables. To compare demographic traits with knowledge and attitude towards post-operative pain management, an independent t-test was conducted. To ascertain the impact of the educational intervention on nurses' knowledge, attitude, and post-operative pain management practice on the surgical ward, a paired t-test was conducted. The intervention was application of a pain assessment scale towards post operative nursing care. </w:t>
      </w:r>
    </w:p>
    <w:p>
      <w:pPr>
        <w:pStyle w:val="4"/>
        <w:jc w:val="both"/>
        <w:rPr>
          <w:rFonts w:ascii="Times New Roman" w:hAnsi="Times New Roman" w:eastAsia="MS Mincho" w:cs="Times New Roman"/>
          <w:b/>
          <w:bCs/>
          <w:color w:val="auto"/>
          <w:lang w:eastAsia="ja-JP"/>
        </w:rPr>
      </w:pPr>
      <w:bookmarkStart w:id="110" w:name="_Toc134608291"/>
      <w:bookmarkStart w:id="111" w:name="_Toc142753411"/>
      <w:bookmarkStart w:id="112" w:name="_Toc134604156"/>
      <w:r>
        <w:rPr>
          <w:rFonts w:ascii="Times New Roman" w:hAnsi="Times New Roman" w:eastAsia="MS Mincho" w:cs="Times New Roman"/>
          <w:b/>
          <w:bCs/>
          <w:color w:val="auto"/>
          <w:lang w:eastAsia="ja-JP"/>
        </w:rPr>
        <w:t>Rights of human subject</w:t>
      </w:r>
      <w:bookmarkEnd w:id="110"/>
      <w:bookmarkEnd w:id="111"/>
      <w:bookmarkEnd w:id="112"/>
    </w:p>
    <w:p>
      <w:pPr>
        <w:spacing w:before="100" w:beforeAutospacing="1" w:after="100" w:afterAutospacing="1" w:line="480" w:lineRule="auto"/>
        <w:ind w:left="90" w:firstLine="630"/>
        <w:jc w:val="both"/>
        <w:rPr>
          <w:rFonts w:ascii="Times New Roman" w:hAnsi="Times New Roman" w:eastAsia="MS Mincho" w:cs="Times New Roman"/>
          <w:sz w:val="24"/>
          <w:szCs w:val="24"/>
          <w:lang w:eastAsia="ja-JP"/>
        </w:rPr>
      </w:pPr>
      <w:r>
        <w:rPr>
          <w:rFonts w:ascii="Times New Roman" w:hAnsi="Times New Roman" w:eastAsia="MS Mincho" w:cs="Times New Roman"/>
          <w:sz w:val="24"/>
          <w:szCs w:val="24"/>
          <w:lang w:eastAsia="ja-JP"/>
        </w:rPr>
        <w:t xml:space="preserve">Focusing on ethical considerations, privacy was at the highest order, confidentiality was maintained, and the participant’s rights were considered. They did not have strings attached that if they don’t participate, they will have committed a crime. Secondly whoever opted to leave the study was free to do so without fear. Therefore, a consent form for the participants to sign before participating in the study has been designed to cater for the above. </w:t>
      </w:r>
    </w:p>
    <w:p>
      <w:pPr>
        <w:pStyle w:val="3"/>
        <w:rPr>
          <w:rFonts w:ascii="Times New Roman" w:hAnsi="Times New Roman" w:cs="Times New Roman"/>
          <w:b w:val="0"/>
          <w:sz w:val="24"/>
          <w:szCs w:val="24"/>
          <w:lang w:eastAsia="ja-JP"/>
        </w:rPr>
      </w:pPr>
      <w:bookmarkStart w:id="113" w:name="_Toc134604157"/>
      <w:bookmarkStart w:id="114" w:name="_Toc142753412"/>
      <w:r>
        <w:rPr>
          <w:rFonts w:ascii="Times New Roman" w:hAnsi="Times New Roman" w:cs="Times New Roman"/>
          <w:sz w:val="24"/>
          <w:szCs w:val="24"/>
          <w:lang w:eastAsia="ja-JP"/>
        </w:rPr>
        <w:t>Ethical consideration</w:t>
      </w:r>
      <w:bookmarkEnd w:id="113"/>
      <w:bookmarkEnd w:id="114"/>
    </w:p>
    <w:p>
      <w:pPr>
        <w:spacing w:before="100" w:beforeAutospacing="1" w:after="100" w:afterAutospacing="1" w:line="480" w:lineRule="auto"/>
        <w:ind w:left="90" w:firstLine="630"/>
        <w:jc w:val="both"/>
        <w:rPr>
          <w:rFonts w:ascii="Times New Roman" w:hAnsi="Times New Roman" w:eastAsia="MS Mincho" w:cs="Times New Roman"/>
          <w:b/>
          <w:sz w:val="24"/>
          <w:szCs w:val="24"/>
          <w:lang w:eastAsia="ja-JP"/>
        </w:rPr>
      </w:pPr>
      <w:r>
        <w:rPr>
          <w:rFonts w:ascii="Times New Roman" w:hAnsi="Times New Roman" w:eastAsia="MS Mincho" w:cs="Times New Roman"/>
          <w:sz w:val="24"/>
          <w:szCs w:val="24"/>
          <w:lang w:eastAsia="ja-JP"/>
        </w:rPr>
        <w:t xml:space="preserve"> Furthermore, I sought approval for the research proposal from the ethics committee of the Uganda Christian University School of Research and Post Graduate Studies and an introductory letter from UCU (Department of Health Sciences). The approved research proposal was submitted to the hospital research committee which granted me permission for data collection. The chief nursing officer, the administrators of the various areas, and the people in charge of data gathering all received copies of the letter from the hospital research committee.</w:t>
      </w:r>
    </w:p>
    <w:p>
      <w:pPr>
        <w:pStyle w:val="3"/>
        <w:rPr>
          <w:rFonts w:ascii="Times New Roman" w:hAnsi="Times New Roman" w:cs="Times New Roman"/>
          <w:b w:val="0"/>
          <w:sz w:val="24"/>
          <w:szCs w:val="24"/>
          <w:lang w:eastAsia="ja-JP"/>
        </w:rPr>
      </w:pPr>
      <w:bookmarkStart w:id="115" w:name="_Toc142753413"/>
      <w:bookmarkStart w:id="116" w:name="_Toc134604158"/>
      <w:r>
        <w:rPr>
          <w:rFonts w:ascii="Times New Roman" w:hAnsi="Times New Roman" w:cs="Times New Roman"/>
          <w:sz w:val="24"/>
          <w:szCs w:val="24"/>
          <w:lang w:eastAsia="ja-JP"/>
        </w:rPr>
        <w:t>Privacy and confidentiality.</w:t>
      </w:r>
      <w:bookmarkEnd w:id="115"/>
      <w:bookmarkEnd w:id="116"/>
      <w:r>
        <w:rPr>
          <w:rFonts w:ascii="Times New Roman" w:hAnsi="Times New Roman" w:cs="Times New Roman"/>
          <w:sz w:val="24"/>
          <w:szCs w:val="24"/>
          <w:lang w:eastAsia="ja-JP"/>
        </w:rPr>
        <w:t xml:space="preserve"> </w:t>
      </w:r>
    </w:p>
    <w:p>
      <w:pPr>
        <w:spacing w:before="100" w:beforeAutospacing="1" w:after="100" w:afterAutospacing="1" w:line="480" w:lineRule="auto"/>
        <w:ind w:left="90" w:firstLine="630"/>
        <w:jc w:val="both"/>
        <w:rPr>
          <w:rFonts w:ascii="Times New Roman" w:hAnsi="Times New Roman" w:eastAsia="MS Mincho" w:cs="Times New Roman"/>
          <w:b/>
          <w:sz w:val="24"/>
          <w:szCs w:val="24"/>
          <w:lang w:eastAsia="ja-JP"/>
        </w:rPr>
      </w:pPr>
      <w:r>
        <w:rPr>
          <w:rFonts w:ascii="Times New Roman" w:hAnsi="Times New Roman" w:eastAsia="MS Mincho" w:cs="Times New Roman"/>
          <w:sz w:val="24"/>
          <w:szCs w:val="24"/>
          <w:lang w:eastAsia="ja-JP"/>
        </w:rPr>
        <w:t>The data collected was kept under key and lock, then at the end of the day fed it into my computer and saved it under google drive.  It was only the researcher and supervisor to access this data collected.</w:t>
      </w:r>
    </w:p>
    <w:p>
      <w:pPr>
        <w:pStyle w:val="4"/>
        <w:jc w:val="both"/>
        <w:rPr>
          <w:rFonts w:ascii="Times New Roman" w:hAnsi="Times New Roman" w:eastAsia="MS Mincho" w:cs="Times New Roman"/>
          <w:b/>
          <w:bCs/>
          <w:color w:val="auto"/>
          <w:lang w:eastAsia="ja-JP"/>
        </w:rPr>
      </w:pPr>
      <w:bookmarkStart w:id="117" w:name="_Toc134608294"/>
      <w:bookmarkStart w:id="118" w:name="_Toc134604159"/>
      <w:bookmarkStart w:id="119" w:name="_Toc142753414"/>
      <w:r>
        <w:rPr>
          <w:rFonts w:ascii="Times New Roman" w:hAnsi="Times New Roman" w:eastAsia="MS Mincho" w:cs="Times New Roman"/>
          <w:b/>
          <w:bCs/>
          <w:color w:val="auto"/>
          <w:lang w:eastAsia="ja-JP"/>
        </w:rPr>
        <w:t>Social cultural issues.</w:t>
      </w:r>
      <w:bookmarkEnd w:id="117"/>
      <w:bookmarkEnd w:id="118"/>
      <w:bookmarkEnd w:id="119"/>
    </w:p>
    <w:p>
      <w:pPr>
        <w:spacing w:before="100" w:beforeAutospacing="1" w:after="100" w:afterAutospacing="1" w:line="480" w:lineRule="auto"/>
        <w:ind w:left="90" w:firstLine="630"/>
        <w:jc w:val="both"/>
        <w:rPr>
          <w:rFonts w:ascii="Times New Roman" w:hAnsi="Times New Roman" w:eastAsia="MS Mincho" w:cs="Times New Roman"/>
          <w:bCs/>
          <w:i/>
          <w:iCs/>
          <w:sz w:val="24"/>
          <w:szCs w:val="24"/>
          <w:lang w:eastAsia="ja-JP"/>
        </w:rPr>
      </w:pPr>
      <w:r>
        <w:rPr>
          <w:rFonts w:ascii="Times New Roman" w:hAnsi="Times New Roman" w:eastAsia="MS Mincho" w:cs="Times New Roman"/>
          <w:sz w:val="24"/>
          <w:szCs w:val="24"/>
          <w:lang w:eastAsia="ja-JP"/>
        </w:rPr>
        <w:t xml:space="preserve">There were some social cultural issues associated with gender where in the central region it is said that men should be strong despite the level of pain they might be experiencing. Therefore, it was a risk to underestimate the level of pain. </w:t>
      </w:r>
      <w:r>
        <w:rPr>
          <w:rFonts w:ascii="Times New Roman" w:hAnsi="Times New Roman" w:eastAsia="MS Mincho" w:cs="Times New Roman"/>
          <w:bCs/>
          <w:sz w:val="24"/>
          <w:szCs w:val="24"/>
          <w:lang w:eastAsia="ja-JP"/>
        </w:rPr>
        <w:t>Secondly t</w:t>
      </w:r>
      <w:r>
        <w:rPr>
          <w:rFonts w:ascii="Times New Roman" w:hAnsi="Times New Roman" w:eastAsia="MS Mincho" w:cs="Times New Roman"/>
          <w:sz w:val="24"/>
          <w:szCs w:val="24"/>
          <w:lang w:eastAsia="ja-JP"/>
        </w:rPr>
        <w:t>here was a culture of the doctors prescribing the post-operative pain killer, and the nurse must always give it as prescribed without assessing the level of pain in relation to the dose. In addition, the manager was not supposed to implement anything in the institution without the top hospital management’s consent.</w:t>
      </w:r>
    </w:p>
    <w:p>
      <w:pPr>
        <w:pStyle w:val="4"/>
        <w:jc w:val="both"/>
        <w:rPr>
          <w:rFonts w:ascii="Times New Roman" w:hAnsi="Times New Roman" w:eastAsia="MS Mincho" w:cs="Times New Roman"/>
          <w:b/>
          <w:bCs/>
          <w:color w:val="auto"/>
          <w:lang w:eastAsia="ja-JP"/>
        </w:rPr>
      </w:pPr>
      <w:bookmarkStart w:id="120" w:name="_Toc134604160"/>
      <w:bookmarkStart w:id="121" w:name="_Toc134608295"/>
      <w:bookmarkStart w:id="122" w:name="_Toc142753415"/>
      <w:r>
        <w:rPr>
          <w:rFonts w:ascii="Times New Roman" w:hAnsi="Times New Roman" w:eastAsia="MS Mincho" w:cs="Times New Roman"/>
          <w:b/>
          <w:bCs/>
          <w:color w:val="auto"/>
          <w:lang w:eastAsia="ja-JP"/>
        </w:rPr>
        <w:t>Risks in the study</w:t>
      </w:r>
      <w:bookmarkEnd w:id="120"/>
      <w:bookmarkEnd w:id="121"/>
      <w:bookmarkEnd w:id="122"/>
    </w:p>
    <w:p>
      <w:pPr>
        <w:spacing w:before="100" w:beforeAutospacing="1" w:after="100" w:afterAutospacing="1" w:line="480" w:lineRule="auto"/>
        <w:ind w:left="90" w:firstLine="630"/>
        <w:jc w:val="both"/>
        <w:rPr>
          <w:rFonts w:ascii="Times New Roman" w:hAnsi="Times New Roman" w:cs="Times New Roman"/>
          <w:sz w:val="24"/>
          <w:szCs w:val="24"/>
        </w:rPr>
      </w:pPr>
      <w:r>
        <w:rPr>
          <w:rFonts w:ascii="Times New Roman" w:hAnsi="Times New Roman" w:cs="Times New Roman"/>
          <w:sz w:val="24"/>
          <w:szCs w:val="24"/>
        </w:rPr>
        <w:t>There might be delayed feedback, wrong interpretation of the questionnaire and increased costs compared to the initial budget.</w:t>
      </w:r>
    </w:p>
    <w:p>
      <w:pPr>
        <w:pStyle w:val="4"/>
        <w:jc w:val="both"/>
        <w:rPr>
          <w:rFonts w:ascii="Times New Roman" w:hAnsi="Times New Roman" w:cs="Times New Roman"/>
          <w:b/>
          <w:bCs/>
          <w:color w:val="auto"/>
        </w:rPr>
      </w:pPr>
      <w:bookmarkStart w:id="123" w:name="_Toc134604161"/>
      <w:bookmarkStart w:id="124" w:name="_Toc142753416"/>
      <w:bookmarkStart w:id="125" w:name="_Toc134608296"/>
      <w:r>
        <w:rPr>
          <w:rFonts w:ascii="Times New Roman" w:hAnsi="Times New Roman" w:cs="Times New Roman"/>
          <w:b/>
          <w:bCs/>
          <w:color w:val="auto"/>
        </w:rPr>
        <w:t>Benefits</w:t>
      </w:r>
      <w:bookmarkEnd w:id="123"/>
      <w:bookmarkEnd w:id="124"/>
      <w:bookmarkEnd w:id="125"/>
    </w:p>
    <w:p>
      <w:pPr>
        <w:spacing w:before="100" w:beforeAutospacing="1" w:after="100" w:afterAutospacing="1" w:line="480" w:lineRule="auto"/>
        <w:ind w:left="90" w:firstLine="630"/>
        <w:jc w:val="both"/>
        <w:rPr>
          <w:rFonts w:ascii="Times New Roman" w:hAnsi="Times New Roman" w:cs="Times New Roman"/>
          <w:sz w:val="24"/>
          <w:szCs w:val="24"/>
        </w:rPr>
      </w:pPr>
      <w:r>
        <w:rPr>
          <w:rFonts w:ascii="Times New Roman" w:hAnsi="Times New Roman" w:cs="Times New Roman"/>
          <w:sz w:val="24"/>
          <w:szCs w:val="24"/>
        </w:rPr>
        <w:t>The nurses working on the surgical wards gained better information of post-operative pain management and developed their post-operative pain assessment skills. Additionally, attitudes and practices surrounding post-operative pain management have improved, leading to higher-quality treatment for these patients.</w:t>
      </w:r>
    </w:p>
    <w:p>
      <w:pPr>
        <w:pStyle w:val="4"/>
        <w:jc w:val="both"/>
        <w:rPr>
          <w:rFonts w:ascii="Times New Roman" w:hAnsi="Times New Roman" w:eastAsia="MS Mincho" w:cs="Times New Roman"/>
          <w:b/>
          <w:bCs/>
          <w:color w:val="auto"/>
          <w:lang w:eastAsia="ja-JP"/>
        </w:rPr>
      </w:pPr>
      <w:bookmarkStart w:id="126" w:name="_Toc142753417"/>
      <w:bookmarkStart w:id="127" w:name="_Toc134608297"/>
      <w:bookmarkStart w:id="128" w:name="_Toc134604162"/>
      <w:r>
        <w:rPr>
          <w:rFonts w:ascii="Times New Roman" w:hAnsi="Times New Roman" w:eastAsia="MS Mincho" w:cs="Times New Roman"/>
          <w:b/>
          <w:bCs/>
          <w:color w:val="auto"/>
          <w:lang w:eastAsia="ja-JP"/>
        </w:rPr>
        <w:t>Conflict of interest</w:t>
      </w:r>
      <w:bookmarkEnd w:id="126"/>
      <w:bookmarkEnd w:id="127"/>
      <w:bookmarkEnd w:id="128"/>
    </w:p>
    <w:p>
      <w:pPr>
        <w:autoSpaceDE w:val="0"/>
        <w:autoSpaceDN w:val="0"/>
        <w:adjustRightInd w:val="0"/>
        <w:spacing w:before="100" w:beforeAutospacing="1" w:after="100" w:afterAutospacing="1" w:line="480" w:lineRule="auto"/>
        <w:ind w:left="90" w:firstLine="630"/>
        <w:jc w:val="both"/>
        <w:rPr>
          <w:rFonts w:ascii="Times New Roman" w:hAnsi="Times New Roman" w:eastAsia="MS Mincho" w:cs="Times New Roman"/>
          <w:sz w:val="24"/>
          <w:szCs w:val="24"/>
          <w:lang w:eastAsia="ja-JP"/>
        </w:rPr>
      </w:pPr>
      <w:r>
        <w:rPr>
          <w:rFonts w:ascii="Times New Roman" w:hAnsi="Times New Roman" w:eastAsia="MS Mincho" w:cs="Times New Roman"/>
          <w:sz w:val="24"/>
          <w:szCs w:val="24"/>
          <w:lang w:eastAsia="ja-JP"/>
        </w:rPr>
        <w:t xml:space="preserve">There was no conflict of interest as it was noted in my consent form that it was the participant’s right to either participate in the study or not. </w:t>
      </w:r>
    </w:p>
    <w:p>
      <w:pPr>
        <w:pStyle w:val="3"/>
        <w:rPr>
          <w:rFonts w:ascii="Times New Roman" w:hAnsi="Times New Roman" w:cs="Times New Roman"/>
          <w:b w:val="0"/>
          <w:sz w:val="24"/>
          <w:szCs w:val="24"/>
          <w:lang w:eastAsia="ja-JP"/>
        </w:rPr>
      </w:pPr>
      <w:bookmarkStart w:id="129" w:name="_Toc134604163"/>
      <w:bookmarkStart w:id="130" w:name="_Toc142753418"/>
      <w:r>
        <w:rPr>
          <w:rFonts w:ascii="Times New Roman" w:hAnsi="Times New Roman" w:cs="Times New Roman"/>
          <w:sz w:val="24"/>
          <w:szCs w:val="24"/>
          <w:lang w:eastAsia="ja-JP"/>
        </w:rPr>
        <w:t>Limitations</w:t>
      </w:r>
      <w:bookmarkEnd w:id="129"/>
      <w:bookmarkEnd w:id="130"/>
    </w:p>
    <w:p>
      <w:pPr>
        <w:spacing w:before="100" w:beforeAutospacing="1" w:after="100" w:afterAutospacing="1" w:line="480" w:lineRule="auto"/>
        <w:ind w:left="90" w:firstLine="630"/>
        <w:jc w:val="both"/>
        <w:rPr>
          <w:rFonts w:ascii="Times New Roman" w:hAnsi="Times New Roman" w:eastAsia="MS Mincho" w:cs="Times New Roman"/>
          <w:bCs/>
          <w:sz w:val="24"/>
          <w:szCs w:val="24"/>
          <w:lang w:eastAsia="ja-JP"/>
        </w:rPr>
      </w:pPr>
      <w:r>
        <w:rPr>
          <w:rFonts w:ascii="Times New Roman" w:hAnsi="Times New Roman" w:eastAsia="MS Mincho" w:cs="Times New Roman"/>
          <w:bCs/>
          <w:sz w:val="24"/>
          <w:szCs w:val="24"/>
          <w:lang w:eastAsia="ja-JP"/>
        </w:rPr>
        <w:t>There was a challenge of using nonprobability sampling methods as it was prone to bias. Secondly, I did not know how much knowledge they had as far as pain management was concerned.</w:t>
      </w:r>
      <w:r>
        <w:rPr>
          <w:rFonts w:ascii="Times New Roman" w:hAnsi="Times New Roman" w:cs="Times New Roman"/>
          <w:sz w:val="24"/>
          <w:szCs w:val="24"/>
        </w:rPr>
        <w:t xml:space="preserve"> Thirdly, I could not predict if the number of operations done per day were still enough for practice in relation to the current situation of the Covid 19 pandemic and</w:t>
      </w:r>
      <w:r>
        <w:rPr>
          <w:rFonts w:ascii="Times New Roman" w:hAnsi="Times New Roman" w:eastAsia="MS Mincho" w:cs="Times New Roman"/>
          <w:bCs/>
          <w:sz w:val="24"/>
          <w:szCs w:val="24"/>
          <w:lang w:eastAsia="ja-JP"/>
        </w:rPr>
        <w:t xml:space="preserve"> others could not be seen for now.</w:t>
      </w:r>
    </w:p>
    <w:p>
      <w:pPr>
        <w:spacing w:before="100" w:beforeAutospacing="1" w:after="100" w:afterAutospacing="1" w:line="480" w:lineRule="auto"/>
        <w:ind w:left="90" w:firstLine="630"/>
        <w:jc w:val="both"/>
        <w:rPr>
          <w:rFonts w:ascii="Times New Roman" w:hAnsi="Times New Roman" w:eastAsia="MS Mincho" w:cs="Times New Roman"/>
          <w:bCs/>
          <w:sz w:val="24"/>
          <w:szCs w:val="24"/>
          <w:lang w:eastAsia="ja-JP"/>
        </w:rPr>
      </w:pPr>
    </w:p>
    <w:p>
      <w:pPr>
        <w:spacing w:before="100" w:beforeAutospacing="1" w:after="100" w:afterAutospacing="1" w:line="480" w:lineRule="auto"/>
        <w:ind w:left="90" w:firstLine="630"/>
        <w:jc w:val="both"/>
        <w:rPr>
          <w:rFonts w:ascii="Times New Roman" w:hAnsi="Times New Roman" w:eastAsia="MS Mincho" w:cs="Times New Roman"/>
          <w:bCs/>
          <w:sz w:val="24"/>
          <w:szCs w:val="24"/>
          <w:lang w:eastAsia="ja-JP"/>
        </w:rPr>
      </w:pPr>
    </w:p>
    <w:p>
      <w:pPr>
        <w:pStyle w:val="3"/>
        <w:jc w:val="center"/>
        <w:rPr>
          <w:rFonts w:ascii="Times New Roman" w:hAnsi="Times New Roman" w:cs="Times New Roman"/>
          <w:sz w:val="24"/>
          <w:szCs w:val="24"/>
        </w:rPr>
      </w:pPr>
      <w:bookmarkStart w:id="131" w:name="_Toc142753419"/>
      <w:bookmarkStart w:id="132" w:name="_Toc134604164"/>
    </w:p>
    <w:p>
      <w:pPr>
        <w:pStyle w:val="3"/>
        <w:jc w:val="center"/>
        <w:rPr>
          <w:rFonts w:ascii="Times New Roman" w:hAnsi="Times New Roman" w:cs="Times New Roman"/>
          <w:sz w:val="24"/>
          <w:szCs w:val="24"/>
        </w:rPr>
      </w:pPr>
    </w:p>
    <w:p>
      <w:pPr>
        <w:pStyle w:val="3"/>
        <w:jc w:val="center"/>
        <w:rPr>
          <w:rFonts w:ascii="Times New Roman" w:hAnsi="Times New Roman" w:cs="Times New Roman"/>
          <w:sz w:val="24"/>
          <w:szCs w:val="24"/>
        </w:rPr>
      </w:pPr>
    </w:p>
    <w:p>
      <w:pPr>
        <w:pStyle w:val="3"/>
        <w:jc w:val="center"/>
        <w:rPr>
          <w:rFonts w:ascii="Times New Roman" w:hAnsi="Times New Roman" w:cs="Times New Roman"/>
          <w:sz w:val="24"/>
          <w:szCs w:val="24"/>
        </w:rPr>
      </w:pPr>
    </w:p>
    <w:p>
      <w:pPr>
        <w:pStyle w:val="3"/>
        <w:jc w:val="center"/>
        <w:rPr>
          <w:rFonts w:ascii="Times New Roman" w:hAnsi="Times New Roman" w:cs="Times New Roman"/>
          <w:sz w:val="24"/>
          <w:szCs w:val="24"/>
        </w:rPr>
      </w:pPr>
    </w:p>
    <w:p>
      <w:pPr>
        <w:pStyle w:val="3"/>
        <w:jc w:val="center"/>
        <w:rPr>
          <w:rFonts w:ascii="Times New Roman" w:hAnsi="Times New Roman" w:cs="Times New Roman"/>
          <w:sz w:val="24"/>
          <w:szCs w:val="24"/>
        </w:rPr>
      </w:pPr>
    </w:p>
    <w:p>
      <w:pPr>
        <w:pStyle w:val="3"/>
        <w:jc w:val="center"/>
        <w:rPr>
          <w:rFonts w:ascii="Times New Roman" w:hAnsi="Times New Roman" w:cs="Times New Roman"/>
          <w:sz w:val="24"/>
          <w:szCs w:val="24"/>
        </w:rPr>
      </w:pPr>
    </w:p>
    <w:p>
      <w:pPr>
        <w:pStyle w:val="3"/>
        <w:jc w:val="center"/>
        <w:rPr>
          <w:rFonts w:ascii="Times New Roman" w:hAnsi="Times New Roman" w:cs="Times New Roman"/>
          <w:sz w:val="24"/>
          <w:szCs w:val="24"/>
        </w:rPr>
      </w:pPr>
    </w:p>
    <w:p>
      <w:pPr>
        <w:pStyle w:val="3"/>
        <w:jc w:val="center"/>
        <w:rPr>
          <w:rFonts w:ascii="Times New Roman" w:hAnsi="Times New Roman" w:cs="Times New Roman"/>
          <w:sz w:val="24"/>
          <w:szCs w:val="24"/>
        </w:rPr>
      </w:pPr>
    </w:p>
    <w:p>
      <w:pPr>
        <w:pStyle w:val="3"/>
        <w:jc w:val="center"/>
        <w:rPr>
          <w:rFonts w:ascii="Times New Roman" w:hAnsi="Times New Roman" w:cs="Times New Roman"/>
          <w:sz w:val="24"/>
          <w:szCs w:val="24"/>
        </w:rPr>
      </w:pPr>
    </w:p>
    <w:p>
      <w:pPr>
        <w:pStyle w:val="3"/>
        <w:jc w:val="center"/>
        <w:rPr>
          <w:rFonts w:ascii="Times New Roman" w:hAnsi="Times New Roman" w:cs="Times New Roman"/>
          <w:sz w:val="24"/>
          <w:szCs w:val="24"/>
        </w:rPr>
      </w:pPr>
    </w:p>
    <w:p>
      <w:pPr>
        <w:pStyle w:val="3"/>
        <w:jc w:val="center"/>
        <w:rPr>
          <w:rFonts w:ascii="Times New Roman" w:hAnsi="Times New Roman" w:cs="Times New Roman"/>
          <w:sz w:val="24"/>
          <w:szCs w:val="24"/>
        </w:rPr>
      </w:pPr>
    </w:p>
    <w:p>
      <w:pPr>
        <w:pStyle w:val="3"/>
        <w:jc w:val="center"/>
        <w:rPr>
          <w:rFonts w:ascii="Times New Roman" w:hAnsi="Times New Roman" w:cs="Times New Roman"/>
          <w:sz w:val="24"/>
          <w:szCs w:val="24"/>
        </w:rPr>
      </w:pPr>
      <w:r>
        <w:rPr>
          <w:rFonts w:ascii="Times New Roman" w:hAnsi="Times New Roman" w:cs="Times New Roman"/>
          <w:sz w:val="24"/>
          <w:szCs w:val="24"/>
        </w:rPr>
        <w:t>Chapter Four: Data Analysis</w:t>
      </w:r>
      <w:bookmarkEnd w:id="131"/>
      <w:bookmarkEnd w:id="132"/>
    </w:p>
    <w:p>
      <w:pPr>
        <w:pStyle w:val="3"/>
        <w:rPr>
          <w:rFonts w:ascii="Times New Roman" w:hAnsi="Times New Roman" w:cs="Times New Roman"/>
          <w:sz w:val="24"/>
          <w:szCs w:val="24"/>
        </w:rPr>
      </w:pPr>
      <w:bookmarkStart w:id="133" w:name="_Toc142753420"/>
      <w:r>
        <w:rPr>
          <w:rFonts w:ascii="Times New Roman" w:hAnsi="Times New Roman" w:cs="Times New Roman"/>
          <w:sz w:val="24"/>
          <w:szCs w:val="24"/>
        </w:rPr>
        <w:t>Introduction</w:t>
      </w:r>
      <w:bookmarkEnd w:id="133"/>
    </w:p>
    <w:p>
      <w:pPr>
        <w:tabs>
          <w:tab w:val="left" w:pos="2610"/>
        </w:tabs>
        <w:spacing w:line="480" w:lineRule="auto"/>
        <w:ind w:firstLine="450"/>
        <w:jc w:val="both"/>
        <w:rPr>
          <w:rFonts w:ascii="Times New Roman" w:hAnsi="Times New Roman" w:cs="Times New Roman"/>
          <w:iCs/>
          <w:sz w:val="24"/>
          <w:szCs w:val="24"/>
        </w:rPr>
      </w:pPr>
      <w:r>
        <w:rPr>
          <w:rFonts w:ascii="Times New Roman" w:hAnsi="Times New Roman" w:cs="Times New Roman"/>
          <w:iCs/>
          <w:sz w:val="24"/>
          <w:szCs w:val="24"/>
        </w:rPr>
        <w:t>In order to determine how the integration of the pain assessment scale affected nurses' knowledge, attitudes, and practices regarding post-operative pain management in a significant private hospital in Uganda, this chapter presents the data gathered, the outcomes of statistical analysis performed, and the interpretation of findings. Descriptive quantitative statistics were obtained to determine the impact of integrating the pain assessment scale (PAS) on the nurse's knowledge, to ascertain the impact of integrating PAS to the nurse's attitude, and to describe the impact of integrating PAS on the nurses' practice towards post-operative pain management.</w:t>
      </w:r>
    </w:p>
    <w:p>
      <w:pPr>
        <w:tabs>
          <w:tab w:val="left" w:pos="2610"/>
        </w:tabs>
        <w:spacing w:line="480" w:lineRule="auto"/>
        <w:ind w:firstLine="450"/>
        <w:jc w:val="both"/>
        <w:rPr>
          <w:rFonts w:ascii="Times New Roman" w:hAnsi="Times New Roman" w:cs="Times New Roman"/>
          <w:iCs/>
          <w:sz w:val="24"/>
          <w:szCs w:val="24"/>
        </w:rPr>
      </w:pPr>
      <w:r>
        <w:rPr>
          <w:rFonts w:ascii="Times New Roman" w:hAnsi="Times New Roman" w:cs="Times New Roman"/>
          <w:iCs/>
          <w:sz w:val="24"/>
          <w:szCs w:val="24"/>
        </w:rPr>
        <w:t>The analysis is organized according to the following themes: demographic and background traits, knowledge of postoperative pain treatment, the nurse's attitude toward postoperative pain management, and a description of nurses' practices in postoperative pain management. After implementing the educational intervention of integrating the PAS to post-operative pain treatment, 60 nurses in total answered the questionnaire before (pretest) and after (posttest). The results showed how integrating the pain assessment scale affected the nurses' understanding attitude, and practice of post-operative pain care. Tables and figures are used to present them.</w:t>
      </w:r>
    </w:p>
    <w:p>
      <w:pPr>
        <w:pStyle w:val="3"/>
        <w:spacing w:line="480" w:lineRule="auto"/>
        <w:rPr>
          <w:rFonts w:ascii="Times New Roman" w:hAnsi="Times New Roman" w:cs="Times New Roman"/>
          <w:b w:val="0"/>
          <w:sz w:val="24"/>
          <w:szCs w:val="24"/>
        </w:rPr>
      </w:pPr>
      <w:bookmarkStart w:id="134" w:name="_Toc134604165"/>
      <w:bookmarkStart w:id="135" w:name="_Toc142753421"/>
      <w:r>
        <w:rPr>
          <w:rFonts w:ascii="Times New Roman" w:hAnsi="Times New Roman" w:cs="Times New Roman"/>
          <w:sz w:val="24"/>
          <w:szCs w:val="24"/>
        </w:rPr>
        <w:t>Demographic characteristics</w:t>
      </w:r>
      <w:bookmarkEnd w:id="134"/>
      <w:bookmarkEnd w:id="135"/>
      <w:r>
        <w:rPr>
          <w:rFonts w:ascii="Times New Roman" w:hAnsi="Times New Roman" w:cs="Times New Roman"/>
          <w:sz w:val="24"/>
          <w:szCs w:val="24"/>
        </w:rPr>
        <w:t xml:space="preserve"> </w:t>
      </w:r>
    </w:p>
    <w:p>
      <w:pPr>
        <w:tabs>
          <w:tab w:val="left" w:pos="2610"/>
        </w:tabs>
        <w:spacing w:line="480" w:lineRule="auto"/>
        <w:ind w:firstLine="450"/>
        <w:jc w:val="both"/>
        <w:rPr>
          <w:rFonts w:ascii="Times New Roman" w:hAnsi="Times New Roman" w:cs="Times New Roman"/>
          <w:sz w:val="24"/>
          <w:szCs w:val="24"/>
        </w:rPr>
      </w:pPr>
      <w:r>
        <w:rPr>
          <w:rFonts w:ascii="Times New Roman" w:hAnsi="Times New Roman" w:cs="Times New Roman"/>
          <w:bCs/>
          <w:sz w:val="24"/>
          <w:szCs w:val="24"/>
        </w:rPr>
        <w:t xml:space="preserve">The respondents were asked to give their demographic and background information in order to help describe their characteristics. The findings are presented in Figures 1-3 and Tables 1-3. </w:t>
      </w:r>
      <w:r>
        <w:rPr>
          <w:rFonts w:ascii="Times New Roman" w:hAnsi="Times New Roman" w:cs="Times New Roman"/>
          <w:sz w:val="24"/>
          <w:szCs w:val="24"/>
        </w:rPr>
        <w:t xml:space="preserve"> </w:t>
      </w:r>
    </w:p>
    <w:p>
      <w:pPr>
        <w:keepNext/>
        <w:tabs>
          <w:tab w:val="left" w:pos="2610"/>
        </w:tabs>
        <w:spacing w:line="48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5158105" cy="4044950"/>
            <wp:effectExtent l="0" t="0" r="4445" b="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a:picLocks noChangeAspect="1"/>
                    </pic:cNvPicPr>
                  </pic:nvPicPr>
                  <pic:blipFill>
                    <a:blip r:embed="rId21"/>
                    <a:srcRect r="11362" b="16255"/>
                    <a:stretch>
                      <a:fillRect/>
                    </a:stretch>
                  </pic:blipFill>
                  <pic:spPr>
                    <a:xfrm>
                      <a:off x="0" y="0"/>
                      <a:ext cx="5210925" cy="4086410"/>
                    </a:xfrm>
                    <a:prstGeom prst="rect">
                      <a:avLst/>
                    </a:prstGeom>
                    <a:ln>
                      <a:noFill/>
                    </a:ln>
                  </pic:spPr>
                </pic:pic>
              </a:graphicData>
            </a:graphic>
          </wp:inline>
        </w:drawing>
      </w:r>
    </w:p>
    <w:p>
      <w:pPr>
        <w:pStyle w:val="9"/>
        <w:rPr>
          <w:rFonts w:ascii="Times New Roman" w:hAnsi="Times New Roman" w:cs="Times New Roman"/>
          <w:b/>
          <w:color w:val="000000" w:themeColor="text1"/>
          <w:sz w:val="24"/>
          <w:szCs w:val="24"/>
          <w14:textFill>
            <w14:solidFill>
              <w14:schemeClr w14:val="tx1"/>
            </w14:solidFill>
          </w14:textFill>
        </w:rPr>
      </w:pPr>
      <w:bookmarkStart w:id="136" w:name="_Toc134608454"/>
      <w:r>
        <w:rPr>
          <w:rFonts w:ascii="Times New Roman" w:hAnsi="Times New Roman" w:cs="Times New Roman"/>
          <w:sz w:val="24"/>
          <w:szCs w:val="24"/>
        </w:rPr>
        <w:t xml:space="preserve">Figure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b/>
          <w:color w:val="000000" w:themeColor="text1"/>
          <w:sz w:val="24"/>
          <w:szCs w:val="24"/>
          <w14:textFill>
            <w14:solidFill>
              <w14:schemeClr w14:val="tx1"/>
            </w14:solidFill>
          </w14:textFill>
        </w:rPr>
        <w:t>: Age of respondents</w:t>
      </w:r>
      <w:bookmarkEnd w:id="136"/>
    </w:p>
    <w:p>
      <w:pPr>
        <w:tabs>
          <w:tab w:val="left" w:pos="2610"/>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Figure 1 shows the age of the respondents ranged between 24 and 54 years where the largest category (70%) was between 24 and 33 years. The respondents were asked about the duration of their working experience in the surgical ward. The mean of the working experience was determined (4 years) and was used to obtain the categories in Figure 2. </w:t>
      </w:r>
    </w:p>
    <w:p>
      <w:pPr>
        <w:keepNext/>
        <w:tabs>
          <w:tab w:val="left" w:pos="2610"/>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4491990" cy="257365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2"/>
                    <a:srcRect r="7589" b="18852"/>
                    <a:stretch>
                      <a:fillRect/>
                    </a:stretch>
                  </pic:blipFill>
                  <pic:spPr>
                    <a:xfrm>
                      <a:off x="0" y="0"/>
                      <a:ext cx="4513908" cy="2586438"/>
                    </a:xfrm>
                    <a:prstGeom prst="rect">
                      <a:avLst/>
                    </a:prstGeom>
                    <a:ln>
                      <a:noFill/>
                    </a:ln>
                  </pic:spPr>
                </pic:pic>
              </a:graphicData>
            </a:graphic>
          </wp:inline>
        </w:drawing>
      </w:r>
    </w:p>
    <w:p>
      <w:pPr>
        <w:pStyle w:val="9"/>
        <w:rPr>
          <w:rFonts w:ascii="Times New Roman" w:hAnsi="Times New Roman" w:cs="Times New Roman"/>
          <w:sz w:val="24"/>
          <w:szCs w:val="24"/>
        </w:rPr>
      </w:pPr>
      <w:bookmarkStart w:id="137" w:name="_Toc134608455"/>
      <w:r>
        <w:rPr>
          <w:rFonts w:ascii="Times New Roman" w:hAnsi="Times New Roman" w:cs="Times New Roman"/>
          <w:sz w:val="24"/>
          <w:szCs w:val="24"/>
        </w:rPr>
        <w:t xml:space="preserve">Figure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t>: Experience in years of working on the surgical ward.</w:t>
      </w:r>
      <w:bookmarkEnd w:id="137"/>
    </w:p>
    <w:p>
      <w:pPr>
        <w:tabs>
          <w:tab w:val="left" w:pos="2610"/>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Figure 2 reveals the working experience ranged between 1 and 26 years where the majority (58.3%) had worked on the surgical ward for more than 4 years on average.  The researcher further wanted to know the respondents' overall working experience. The average of the overall working experience was determined (8 years) to formulate the categories in Figure 3 </w:t>
      </w:r>
    </w:p>
    <w:p>
      <w:pPr>
        <w:pStyle w:val="9"/>
        <w:keepNext/>
        <w:tabs>
          <w:tab w:val="left" w:pos="2610"/>
        </w:tabs>
        <w:rPr>
          <w:rFonts w:ascii="Times New Roman" w:hAnsi="Times New Roman" w:cs="Times New Roman"/>
          <w:color w:val="auto"/>
          <w:sz w:val="24"/>
          <w:szCs w:val="24"/>
        </w:rPr>
      </w:pPr>
      <w:r>
        <w:rPr>
          <w:rFonts w:ascii="Times New Roman" w:hAnsi="Times New Roman" w:cs="Times New Roman"/>
          <w:color w:val="auto"/>
          <w:sz w:val="24"/>
          <w:szCs w:val="24"/>
        </w:rPr>
        <w:drawing>
          <wp:inline distT="0" distB="0" distL="0" distR="0">
            <wp:extent cx="3657600" cy="23291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3"/>
                    <a:srcRect r="7822" b="16106"/>
                    <a:stretch>
                      <a:fillRect/>
                    </a:stretch>
                  </pic:blipFill>
                  <pic:spPr>
                    <a:xfrm>
                      <a:off x="0" y="0"/>
                      <a:ext cx="3727801" cy="2374092"/>
                    </a:xfrm>
                    <a:prstGeom prst="rect">
                      <a:avLst/>
                    </a:prstGeom>
                    <a:ln>
                      <a:noFill/>
                    </a:ln>
                  </pic:spPr>
                </pic:pic>
              </a:graphicData>
            </a:graphic>
          </wp:inline>
        </w:drawing>
      </w:r>
    </w:p>
    <w:p>
      <w:pPr>
        <w:pStyle w:val="9"/>
        <w:rPr>
          <w:rFonts w:ascii="Times New Roman" w:hAnsi="Times New Roman" w:cs="Times New Roman"/>
          <w:b/>
          <w:color w:val="000000" w:themeColor="text1"/>
          <w:sz w:val="24"/>
          <w:szCs w:val="24"/>
          <w14:textFill>
            <w14:solidFill>
              <w14:schemeClr w14:val="tx1"/>
            </w14:solidFill>
          </w14:textFill>
        </w:rPr>
      </w:pPr>
      <w:bookmarkStart w:id="138" w:name="_Toc134608456"/>
      <w:r>
        <w:rPr>
          <w:rFonts w:ascii="Times New Roman" w:hAnsi="Times New Roman" w:cs="Times New Roman"/>
          <w:sz w:val="24"/>
          <w:szCs w:val="24"/>
        </w:rPr>
        <w:t xml:space="preserve">Figure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Pr>
          <w:rFonts w:ascii="Times New Roman" w:hAnsi="Times New Roman" w:cs="Times New Roman"/>
          <w:sz w:val="24"/>
          <w:szCs w:val="24"/>
        </w:rPr>
        <w:fldChar w:fldCharType="separate"/>
      </w:r>
      <w:r>
        <w:rPr>
          <w:rFonts w:ascii="Times New Roman" w:hAnsi="Times New Roman" w:cs="Times New Roman"/>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t xml:space="preserve">  working experience in years.</w:t>
      </w:r>
      <w:bookmarkEnd w:id="138"/>
    </w:p>
    <w:p>
      <w:pPr>
        <w:tabs>
          <w:tab w:val="left" w:pos="2610"/>
        </w:tabs>
        <w:spacing w:line="480" w:lineRule="auto"/>
        <w:ind w:firstLine="720"/>
        <w:jc w:val="both"/>
        <w:rPr>
          <w:rFonts w:ascii="Times New Roman" w:hAnsi="Times New Roman" w:cs="Times New Roman"/>
          <w:sz w:val="24"/>
          <w:szCs w:val="24"/>
        </w:rPr>
      </w:pPr>
      <w:r>
        <w:rPr>
          <w:rStyle w:val="46"/>
          <w:rFonts w:ascii="Times New Roman" w:hAnsi="Times New Roman" w:cs="Times New Roman"/>
          <w:sz w:val="24"/>
          <w:szCs w:val="24"/>
        </w:rPr>
        <w:t xml:space="preserve">Figure 3 shows the overall working experience of the respondents ranged between 1 and 26 years where the majority </w:t>
      </w:r>
      <w:r>
        <w:rPr>
          <w:rFonts w:ascii="Times New Roman" w:hAnsi="Times New Roman" w:cs="Times New Roman"/>
          <w:sz w:val="24"/>
          <w:szCs w:val="24"/>
        </w:rPr>
        <w:t>(75%) had worked for less than 8 years. Additional background characteristics of the respondents are presented in Table 1.</w:t>
      </w:r>
    </w:p>
    <w:p>
      <w:pPr>
        <w:pStyle w:val="9"/>
        <w:keepNext/>
        <w:rPr>
          <w:rFonts w:ascii="Times New Roman" w:hAnsi="Times New Roman" w:cs="Times New Roman"/>
          <w:sz w:val="24"/>
          <w:szCs w:val="24"/>
        </w:rPr>
      </w:pPr>
      <w:bookmarkStart w:id="139" w:name="_Toc134608189"/>
      <w:bookmarkStart w:id="140" w:name="_Toc120852239"/>
      <w:bookmarkStart w:id="141" w:name="_Toc134604169"/>
      <w:r>
        <w:rPr>
          <w:rFonts w:ascii="Times New Roman" w:hAnsi="Times New Roman" w:cs="Times New Roman"/>
          <w:sz w:val="24"/>
          <w:szCs w:val="24"/>
        </w:rPr>
        <w:t xml:space="preserve">Table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Table \* ARABIC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:Background characteristics</w:t>
      </w:r>
      <w:bookmarkEnd w:id="139"/>
    </w:p>
    <w:bookmarkEnd w:id="140"/>
    <w:bookmarkEnd w:id="141"/>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15"/>
        <w:gridCol w:w="1710"/>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5" w:type="dxa"/>
          </w:tcPr>
          <w:p>
            <w:pPr>
              <w:tabs>
                <w:tab w:val="left" w:pos="261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Variable  </w:t>
            </w:r>
          </w:p>
        </w:tc>
        <w:tc>
          <w:tcPr>
            <w:tcW w:w="1710" w:type="dxa"/>
          </w:tcPr>
          <w:p>
            <w:pPr>
              <w:tabs>
                <w:tab w:val="left" w:pos="2610"/>
              </w:tabs>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f</w:t>
            </w:r>
          </w:p>
        </w:tc>
        <w:tc>
          <w:tcPr>
            <w:tcW w:w="1525" w:type="dxa"/>
          </w:tcPr>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5" w:type="dxa"/>
          </w:tcPr>
          <w:p>
            <w:pPr>
              <w:tabs>
                <w:tab w:val="left" w:pos="261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Sex of respondent </w:t>
            </w:r>
          </w:p>
          <w:p>
            <w:pPr>
              <w:tabs>
                <w:tab w:val="left" w:pos="261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Male </w:t>
            </w:r>
          </w:p>
          <w:p>
            <w:pPr>
              <w:tabs>
                <w:tab w:val="left" w:pos="261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Female </w:t>
            </w:r>
          </w:p>
        </w:tc>
        <w:tc>
          <w:tcPr>
            <w:tcW w:w="1710" w:type="dxa"/>
          </w:tcPr>
          <w:p>
            <w:pPr>
              <w:tabs>
                <w:tab w:val="left" w:pos="2610"/>
              </w:tabs>
              <w:spacing w:after="0" w:line="240" w:lineRule="auto"/>
              <w:jc w:val="center"/>
              <w:rPr>
                <w:rFonts w:ascii="Times New Roman" w:hAnsi="Times New Roman" w:cs="Times New Roman"/>
                <w:sz w:val="24"/>
                <w:szCs w:val="24"/>
              </w:rPr>
            </w:pPr>
          </w:p>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525" w:type="dxa"/>
          </w:tcPr>
          <w:p>
            <w:pPr>
              <w:tabs>
                <w:tab w:val="left" w:pos="2610"/>
              </w:tabs>
              <w:spacing w:after="0" w:line="240" w:lineRule="auto"/>
              <w:jc w:val="center"/>
              <w:rPr>
                <w:rFonts w:ascii="Times New Roman" w:hAnsi="Times New Roman" w:cs="Times New Roman"/>
                <w:sz w:val="24"/>
                <w:szCs w:val="24"/>
              </w:rPr>
            </w:pPr>
          </w:p>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19.7</w:t>
            </w:r>
          </w:p>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5" w:type="dxa"/>
          </w:tcPr>
          <w:p>
            <w:pPr>
              <w:tabs>
                <w:tab w:val="left" w:pos="261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Qualification </w:t>
            </w:r>
          </w:p>
          <w:p>
            <w:pPr>
              <w:tabs>
                <w:tab w:val="left" w:pos="261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Certificate </w:t>
            </w:r>
          </w:p>
          <w:p>
            <w:pPr>
              <w:tabs>
                <w:tab w:val="left" w:pos="261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Diploma</w:t>
            </w:r>
          </w:p>
          <w:p>
            <w:pPr>
              <w:tabs>
                <w:tab w:val="left" w:pos="261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Degree</w:t>
            </w:r>
          </w:p>
          <w:p>
            <w:pPr>
              <w:tabs>
                <w:tab w:val="left" w:pos="2610"/>
              </w:tabs>
              <w:spacing w:after="0" w:line="240" w:lineRule="auto"/>
              <w:rPr>
                <w:rFonts w:ascii="Times New Roman" w:hAnsi="Times New Roman" w:cs="Times New Roman"/>
                <w:sz w:val="24"/>
                <w:szCs w:val="24"/>
              </w:rPr>
            </w:pPr>
          </w:p>
        </w:tc>
        <w:tc>
          <w:tcPr>
            <w:tcW w:w="1710" w:type="dxa"/>
          </w:tcPr>
          <w:p>
            <w:pPr>
              <w:tabs>
                <w:tab w:val="left" w:pos="2610"/>
              </w:tabs>
              <w:spacing w:after="0" w:line="240" w:lineRule="auto"/>
              <w:jc w:val="center"/>
              <w:rPr>
                <w:rFonts w:ascii="Times New Roman" w:hAnsi="Times New Roman" w:cs="Times New Roman"/>
                <w:sz w:val="24"/>
                <w:szCs w:val="24"/>
              </w:rPr>
            </w:pPr>
          </w:p>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25" w:type="dxa"/>
          </w:tcPr>
          <w:p>
            <w:pPr>
              <w:tabs>
                <w:tab w:val="left" w:pos="2610"/>
              </w:tabs>
              <w:spacing w:after="0" w:line="240" w:lineRule="auto"/>
              <w:jc w:val="center"/>
              <w:rPr>
                <w:rFonts w:ascii="Times New Roman" w:hAnsi="Times New Roman" w:cs="Times New Roman"/>
                <w:sz w:val="24"/>
                <w:szCs w:val="24"/>
              </w:rPr>
            </w:pPr>
          </w:p>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63.9</w:t>
            </w:r>
          </w:p>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34.4</w:t>
            </w:r>
          </w:p>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p>
            <w:pPr>
              <w:tabs>
                <w:tab w:val="left" w:pos="2610"/>
              </w:tabs>
              <w:spacing w:after="0" w:line="240" w:lineRule="auto"/>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5" w:type="dxa"/>
          </w:tcPr>
          <w:p>
            <w:pPr>
              <w:tabs>
                <w:tab w:val="left" w:pos="2610"/>
              </w:tabs>
              <w:spacing w:after="0" w:line="240" w:lineRule="auto"/>
              <w:rPr>
                <w:rFonts w:ascii="Times New Roman" w:hAnsi="Times New Roman" w:cs="Times New Roman"/>
                <w:sz w:val="24"/>
                <w:szCs w:val="24"/>
              </w:rPr>
            </w:pPr>
            <w:r>
              <w:rPr>
                <w:rFonts w:ascii="Times New Roman" w:hAnsi="Times New Roman" w:cs="Times New Roman"/>
                <w:sz w:val="24"/>
                <w:szCs w:val="24"/>
              </w:rPr>
              <w:t>Orientation to pain assessment</w:t>
            </w:r>
          </w:p>
          <w:p>
            <w:pPr>
              <w:tabs>
                <w:tab w:val="left" w:pos="2610"/>
              </w:tabs>
              <w:spacing w:after="0" w:line="240" w:lineRule="auto"/>
              <w:ind w:left="720"/>
              <w:rPr>
                <w:rFonts w:ascii="Times New Roman" w:hAnsi="Times New Roman" w:cs="Times New Roman"/>
                <w:sz w:val="24"/>
                <w:szCs w:val="24"/>
              </w:rPr>
            </w:pPr>
          </w:p>
          <w:p>
            <w:pPr>
              <w:tabs>
                <w:tab w:val="left" w:pos="261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CPD</w:t>
            </w:r>
          </w:p>
          <w:p>
            <w:pPr>
              <w:tabs>
                <w:tab w:val="left" w:pos="261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CNE </w:t>
            </w:r>
          </w:p>
          <w:p>
            <w:pPr>
              <w:tabs>
                <w:tab w:val="left" w:pos="261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Others </w:t>
            </w:r>
          </w:p>
          <w:p>
            <w:pPr>
              <w:tabs>
                <w:tab w:val="left" w:pos="2610"/>
              </w:tabs>
              <w:spacing w:after="0" w:line="240" w:lineRule="auto"/>
              <w:rPr>
                <w:rFonts w:ascii="Times New Roman" w:hAnsi="Times New Roman" w:cs="Times New Roman"/>
                <w:sz w:val="24"/>
                <w:szCs w:val="24"/>
              </w:rPr>
            </w:pPr>
          </w:p>
        </w:tc>
        <w:tc>
          <w:tcPr>
            <w:tcW w:w="1710" w:type="dxa"/>
          </w:tcPr>
          <w:p>
            <w:pPr>
              <w:tabs>
                <w:tab w:val="left" w:pos="2610"/>
              </w:tabs>
              <w:spacing w:after="0" w:line="240" w:lineRule="auto"/>
              <w:jc w:val="center"/>
              <w:rPr>
                <w:rFonts w:ascii="Times New Roman" w:hAnsi="Times New Roman" w:cs="Times New Roman"/>
                <w:sz w:val="24"/>
                <w:szCs w:val="24"/>
              </w:rPr>
            </w:pPr>
          </w:p>
          <w:p>
            <w:pPr>
              <w:tabs>
                <w:tab w:val="left" w:pos="2610"/>
              </w:tabs>
              <w:spacing w:after="0" w:line="240" w:lineRule="auto"/>
              <w:rPr>
                <w:rFonts w:ascii="Times New Roman" w:hAnsi="Times New Roman" w:cs="Times New Roman"/>
                <w:sz w:val="24"/>
                <w:szCs w:val="24"/>
              </w:rPr>
            </w:pPr>
          </w:p>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p>
            <w:pPr>
              <w:tabs>
                <w:tab w:val="left" w:pos="2610"/>
              </w:tabs>
              <w:spacing w:after="0" w:line="240" w:lineRule="auto"/>
              <w:jc w:val="center"/>
              <w:rPr>
                <w:rFonts w:ascii="Times New Roman" w:hAnsi="Times New Roman" w:cs="Times New Roman"/>
                <w:sz w:val="24"/>
                <w:szCs w:val="24"/>
              </w:rPr>
            </w:pPr>
          </w:p>
        </w:tc>
        <w:tc>
          <w:tcPr>
            <w:tcW w:w="1525" w:type="dxa"/>
          </w:tcPr>
          <w:p>
            <w:pPr>
              <w:tabs>
                <w:tab w:val="left" w:pos="2610"/>
              </w:tabs>
              <w:spacing w:after="0" w:line="240" w:lineRule="auto"/>
              <w:jc w:val="center"/>
              <w:rPr>
                <w:rFonts w:ascii="Times New Roman" w:hAnsi="Times New Roman" w:cs="Times New Roman"/>
                <w:sz w:val="24"/>
                <w:szCs w:val="24"/>
              </w:rPr>
            </w:pPr>
          </w:p>
          <w:p>
            <w:pPr>
              <w:tabs>
                <w:tab w:val="left" w:pos="2610"/>
              </w:tabs>
              <w:spacing w:after="0" w:line="240" w:lineRule="auto"/>
              <w:rPr>
                <w:rFonts w:ascii="Times New Roman" w:hAnsi="Times New Roman" w:cs="Times New Roman"/>
                <w:sz w:val="24"/>
                <w:szCs w:val="24"/>
              </w:rPr>
            </w:pPr>
          </w:p>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19.7</w:t>
            </w:r>
          </w:p>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49.2</w:t>
            </w:r>
          </w:p>
          <w:p>
            <w:pPr>
              <w:keepNext/>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31.1</w:t>
            </w:r>
          </w:p>
        </w:tc>
      </w:tr>
    </w:tbl>
    <w:p>
      <w:pPr>
        <w:tabs>
          <w:tab w:val="left" w:pos="2610"/>
        </w:tabs>
        <w:rPr>
          <w:rFonts w:ascii="Times New Roman" w:hAnsi="Times New Roman" w:cs="Times New Roman"/>
          <w:sz w:val="24"/>
          <w:szCs w:val="24"/>
        </w:rPr>
      </w:pPr>
      <w:r>
        <w:rPr>
          <w:rFonts w:ascii="Times New Roman" w:hAnsi="Times New Roman" w:cs="Times New Roman"/>
          <w:sz w:val="24"/>
          <w:szCs w:val="24"/>
        </w:rPr>
        <w:tab/>
      </w:r>
    </w:p>
    <w:p>
      <w:pPr>
        <w:pStyle w:val="9"/>
        <w:tabs>
          <w:tab w:val="left" w:pos="2610"/>
        </w:tabs>
        <w:spacing w:line="480" w:lineRule="auto"/>
        <w:ind w:firstLine="720"/>
        <w:jc w:val="both"/>
        <w:rPr>
          <w:rFonts w:ascii="Times New Roman" w:hAnsi="Times New Roman" w:cs="Times New Roman"/>
          <w:i w:val="0"/>
          <w:iCs w:val="0"/>
          <w:color w:val="auto"/>
          <w:sz w:val="24"/>
          <w:szCs w:val="24"/>
        </w:rPr>
      </w:pPr>
      <w:bookmarkStart w:id="142" w:name="_Hlk107657716"/>
      <w:bookmarkStart w:id="143" w:name="_Hlk108531983"/>
      <w:r>
        <w:rPr>
          <w:rFonts w:ascii="Times New Roman" w:hAnsi="Times New Roman" w:cs="Times New Roman"/>
          <w:i w:val="0"/>
          <w:iCs w:val="0"/>
          <w:color w:val="auto"/>
          <w:sz w:val="24"/>
          <w:szCs w:val="24"/>
        </w:rPr>
        <w:t xml:space="preserve">Table 1 reveals that respondents were mostly female (80.3 %), most (63.9%) held a certificate in nursing, and about half of them (49.2%) had received orientation to pain assessment through continued nursing education (CNE) seminars. </w:t>
      </w:r>
    </w:p>
    <w:p>
      <w:pPr>
        <w:pStyle w:val="3"/>
        <w:spacing w:line="480" w:lineRule="auto"/>
        <w:rPr>
          <w:rFonts w:ascii="Times New Roman" w:hAnsi="Times New Roman" w:cs="Times New Roman"/>
          <w:b w:val="0"/>
          <w:sz w:val="24"/>
          <w:szCs w:val="24"/>
        </w:rPr>
      </w:pPr>
      <w:bookmarkStart w:id="144" w:name="_Toc134604170"/>
      <w:bookmarkStart w:id="145" w:name="_Toc142753422"/>
      <w:bookmarkStart w:id="146" w:name="_Hlk114314988"/>
      <w:r>
        <w:rPr>
          <w:rFonts w:ascii="Times New Roman" w:hAnsi="Times New Roman" w:cs="Times New Roman"/>
          <w:sz w:val="24"/>
          <w:szCs w:val="24"/>
        </w:rPr>
        <w:t>Pretest Knowledge of Postoperative Pain Management on the Surgical Ward</w:t>
      </w:r>
      <w:bookmarkEnd w:id="144"/>
      <w:bookmarkEnd w:id="145"/>
      <w:r>
        <w:rPr>
          <w:rFonts w:ascii="Times New Roman" w:hAnsi="Times New Roman" w:cs="Times New Roman"/>
          <w:sz w:val="24"/>
          <w:szCs w:val="24"/>
        </w:rPr>
        <w:t xml:space="preserve">                   </w:t>
      </w:r>
    </w:p>
    <w:bookmarkEnd w:id="146"/>
    <w:p>
      <w:pPr>
        <w:pStyle w:val="9"/>
        <w:tabs>
          <w:tab w:val="left" w:pos="2610"/>
        </w:tabs>
        <w:spacing w:line="480" w:lineRule="auto"/>
        <w:ind w:firstLine="720"/>
        <w:jc w:val="both"/>
        <w:rPr>
          <w:rFonts w:ascii="Times New Roman" w:hAnsi="Times New Roman" w:cs="Times New Roman"/>
          <w:i w:val="0"/>
          <w:iCs w:val="0"/>
          <w:color w:val="auto"/>
          <w:sz w:val="24"/>
          <w:szCs w:val="24"/>
        </w:rPr>
      </w:pPr>
      <w:bookmarkStart w:id="147" w:name="_Hlk116121793"/>
      <w:r>
        <w:rPr>
          <w:rFonts w:ascii="Times New Roman" w:hAnsi="Times New Roman" w:cs="Times New Roman"/>
          <w:i w:val="0"/>
          <w:iCs w:val="0"/>
          <w:color w:val="auto"/>
          <w:sz w:val="24"/>
          <w:szCs w:val="24"/>
        </w:rPr>
        <w:t xml:space="preserve"> </w:t>
      </w:r>
      <w:bookmarkStart w:id="148" w:name="_Hlk109477062"/>
      <w:r>
        <w:rPr>
          <w:rFonts w:ascii="Times New Roman" w:hAnsi="Times New Roman" w:cs="Times New Roman"/>
          <w:i w:val="0"/>
          <w:iCs w:val="0"/>
          <w:color w:val="auto"/>
          <w:sz w:val="24"/>
          <w:szCs w:val="24"/>
        </w:rPr>
        <w:t>On a 0–10 number rating scale, respondents were asked how they would rank their level of pain (NRS).</w:t>
      </w:r>
      <w:r>
        <w:rPr>
          <w:rFonts w:ascii="Times New Roman" w:hAnsi="Times New Roman" w:cs="Times New Roman"/>
          <w:bCs/>
          <w:i w:val="0"/>
          <w:iCs w:val="0"/>
          <w:color w:val="auto"/>
          <w:sz w:val="24"/>
          <w:szCs w:val="24"/>
        </w:rPr>
        <w:t xml:space="preserve"> The questions </w:t>
      </w:r>
      <w:bookmarkStart w:id="149" w:name="_Hlk111621947"/>
      <w:r>
        <w:rPr>
          <w:rFonts w:ascii="Times New Roman" w:hAnsi="Times New Roman" w:cs="Times New Roman"/>
          <w:bCs/>
          <w:i w:val="0"/>
          <w:iCs w:val="0"/>
          <w:color w:val="auto"/>
          <w:sz w:val="24"/>
          <w:szCs w:val="24"/>
        </w:rPr>
        <w:t>in</w:t>
      </w:r>
      <w:r>
        <w:rPr>
          <w:rFonts w:ascii="Times New Roman" w:hAnsi="Times New Roman" w:cs="Times New Roman"/>
          <w:i w:val="0"/>
          <w:iCs w:val="0"/>
          <w:color w:val="auto"/>
          <w:sz w:val="24"/>
          <w:szCs w:val="24"/>
        </w:rPr>
        <w:t xml:space="preserve"> Table two (2 and 4) were stated such that the respondents who ticked “no” were likely to be knowing the correct way of rating POP on the 0-10 NRS. The findings are presented in Table 2.</w:t>
      </w:r>
    </w:p>
    <w:p/>
    <w:p/>
    <w:p/>
    <w:bookmarkEnd w:id="147"/>
    <w:bookmarkEnd w:id="149"/>
    <w:p>
      <w:pPr>
        <w:pStyle w:val="9"/>
        <w:keepNext/>
        <w:rPr>
          <w:rFonts w:ascii="Times New Roman" w:hAnsi="Times New Roman" w:cs="Times New Roman"/>
          <w:sz w:val="24"/>
          <w:szCs w:val="24"/>
        </w:rPr>
      </w:pPr>
      <w:bookmarkStart w:id="150" w:name="_Toc134608190"/>
      <w:bookmarkStart w:id="151" w:name="_Toc120852241"/>
      <w:bookmarkStart w:id="152" w:name="_Toc134604171"/>
      <w:r>
        <w:rPr>
          <w:rFonts w:ascii="Times New Roman" w:hAnsi="Times New Roman" w:cs="Times New Roman"/>
          <w:sz w:val="24"/>
          <w:szCs w:val="24"/>
        </w:rPr>
        <w:t xml:space="preserve">Table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Table \* ARABIC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t xml:space="preserve"> Scoring post-operative pain in the surgical ward.</w:t>
      </w:r>
      <w:bookmarkEnd w:id="150"/>
    </w:p>
    <w:bookmarkEnd w:id="148"/>
    <w:bookmarkEnd w:id="151"/>
    <w:bookmarkEnd w:id="152"/>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3"/>
        <w:gridCol w:w="1176"/>
        <w:gridCol w:w="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83" w:type="dxa"/>
          </w:tcPr>
          <w:p>
            <w:pPr>
              <w:tabs>
                <w:tab w:val="left" w:pos="2610"/>
              </w:tabs>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Variable</w:t>
            </w:r>
          </w:p>
        </w:tc>
        <w:tc>
          <w:tcPr>
            <w:tcW w:w="1176" w:type="dxa"/>
          </w:tcPr>
          <w:p>
            <w:pPr>
              <w:tabs>
                <w:tab w:val="left" w:pos="2610"/>
              </w:tabs>
              <w:autoSpaceDE w:val="0"/>
              <w:autoSpaceDN w:val="0"/>
              <w:adjustRightInd w:val="0"/>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f</w:t>
            </w:r>
          </w:p>
        </w:tc>
        <w:tc>
          <w:tcPr>
            <w:tcW w:w="891"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7283" w:type="dxa"/>
          </w:tcPr>
          <w:p>
            <w:pPr>
              <w:pStyle w:val="24"/>
              <w:numPr>
                <w:ilvl w:val="0"/>
                <w:numId w:val="2"/>
              </w:numPr>
              <w:tabs>
                <w:tab w:val="left" w:pos="2610"/>
              </w:tabs>
              <w:rPr>
                <w:sz w:val="20"/>
                <w:szCs w:val="20"/>
              </w:rPr>
            </w:pPr>
            <w:r>
              <w:rPr>
                <w:sz w:val="20"/>
                <w:szCs w:val="20"/>
              </w:rPr>
              <w:t>On the NRS, is seven unmanageable pain?</w:t>
            </w:r>
          </w:p>
          <w:p>
            <w:pPr>
              <w:tabs>
                <w:tab w:val="left" w:pos="2610"/>
              </w:tabs>
              <w:autoSpaceDE w:val="0"/>
              <w:autoSpaceDN w:val="0"/>
              <w:adjustRightInd w:val="0"/>
              <w:spacing w:after="0" w:line="240" w:lineRule="auto"/>
              <w:ind w:left="720"/>
              <w:rPr>
                <w:rFonts w:ascii="Times New Roman" w:hAnsi="Times New Roman" w:cs="Times New Roman"/>
                <w:sz w:val="20"/>
                <w:szCs w:val="20"/>
              </w:rPr>
            </w:pPr>
            <w:r>
              <w:rPr>
                <w:rFonts w:ascii="Times New Roman" w:hAnsi="Times New Roman" w:cs="Times New Roman"/>
                <w:sz w:val="20"/>
                <w:szCs w:val="20"/>
              </w:rPr>
              <w:t>No</w:t>
            </w:r>
          </w:p>
          <w:p>
            <w:pPr>
              <w:tabs>
                <w:tab w:val="left" w:pos="2610"/>
              </w:tabs>
              <w:autoSpaceDE w:val="0"/>
              <w:autoSpaceDN w:val="0"/>
              <w:adjustRightInd w:val="0"/>
              <w:spacing w:after="0" w:line="240" w:lineRule="auto"/>
              <w:ind w:left="720"/>
              <w:rPr>
                <w:rFonts w:ascii="Times New Roman" w:hAnsi="Times New Roman" w:cs="Times New Roman"/>
                <w:sz w:val="20"/>
                <w:szCs w:val="20"/>
              </w:rPr>
            </w:pPr>
            <w:r>
              <w:rPr>
                <w:rFonts w:ascii="Times New Roman" w:hAnsi="Times New Roman" w:cs="Times New Roman"/>
                <w:sz w:val="20"/>
                <w:szCs w:val="20"/>
              </w:rPr>
              <w:t>Yes</w:t>
            </w:r>
          </w:p>
        </w:tc>
        <w:tc>
          <w:tcPr>
            <w:tcW w:w="1176"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38</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891"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63.3</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3" w:type="dxa"/>
          </w:tcPr>
          <w:p>
            <w:pPr>
              <w:pStyle w:val="24"/>
              <w:numPr>
                <w:ilvl w:val="0"/>
                <w:numId w:val="2"/>
              </w:numPr>
              <w:tabs>
                <w:tab w:val="left" w:pos="2610"/>
              </w:tabs>
              <w:rPr>
                <w:sz w:val="20"/>
                <w:szCs w:val="20"/>
              </w:rPr>
            </w:pPr>
            <w:r>
              <w:rPr>
                <w:sz w:val="20"/>
                <w:szCs w:val="20"/>
              </w:rPr>
              <w:t>On NRS six denotes severe pain</w:t>
            </w:r>
          </w:p>
          <w:p>
            <w:pPr>
              <w:tabs>
                <w:tab w:val="left" w:pos="2610"/>
              </w:tabs>
              <w:autoSpaceDE w:val="0"/>
              <w:autoSpaceDN w:val="0"/>
              <w:adjustRightInd w:val="0"/>
              <w:spacing w:after="0" w:line="240" w:lineRule="auto"/>
              <w:ind w:left="720"/>
              <w:rPr>
                <w:rFonts w:ascii="Times New Roman" w:hAnsi="Times New Roman" w:cs="Times New Roman"/>
                <w:sz w:val="20"/>
                <w:szCs w:val="20"/>
              </w:rPr>
            </w:pPr>
            <w:r>
              <w:rPr>
                <w:rFonts w:ascii="Times New Roman" w:hAnsi="Times New Roman" w:cs="Times New Roman"/>
                <w:sz w:val="20"/>
                <w:szCs w:val="20"/>
              </w:rPr>
              <w:t>No</w:t>
            </w:r>
          </w:p>
          <w:p>
            <w:pPr>
              <w:tabs>
                <w:tab w:val="left" w:pos="2610"/>
              </w:tabs>
              <w:autoSpaceDE w:val="0"/>
              <w:autoSpaceDN w:val="0"/>
              <w:adjustRightInd w:val="0"/>
              <w:spacing w:after="0" w:line="240" w:lineRule="auto"/>
              <w:ind w:left="720"/>
              <w:rPr>
                <w:rFonts w:ascii="Times New Roman" w:hAnsi="Times New Roman" w:cs="Times New Roman"/>
                <w:sz w:val="20"/>
                <w:szCs w:val="20"/>
              </w:rPr>
            </w:pPr>
            <w:r>
              <w:rPr>
                <w:rFonts w:ascii="Times New Roman" w:hAnsi="Times New Roman" w:cs="Times New Roman"/>
                <w:sz w:val="20"/>
                <w:szCs w:val="20"/>
              </w:rPr>
              <w:t xml:space="preserve">Yes </w:t>
            </w:r>
          </w:p>
        </w:tc>
        <w:tc>
          <w:tcPr>
            <w:tcW w:w="1176"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37</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891"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61.7</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3" w:type="dxa"/>
          </w:tcPr>
          <w:p>
            <w:pPr>
              <w:pStyle w:val="24"/>
              <w:numPr>
                <w:ilvl w:val="0"/>
                <w:numId w:val="2"/>
              </w:numPr>
              <w:tabs>
                <w:tab w:val="left" w:pos="2610"/>
              </w:tabs>
              <w:autoSpaceDE w:val="0"/>
              <w:autoSpaceDN w:val="0"/>
              <w:adjustRightInd w:val="0"/>
              <w:rPr>
                <w:sz w:val="20"/>
                <w:szCs w:val="20"/>
              </w:rPr>
            </w:pPr>
            <w:r>
              <w:rPr>
                <w:sz w:val="20"/>
                <w:szCs w:val="20"/>
              </w:rPr>
              <w:t xml:space="preserve">Does 2 on the NRS denote no pain at all? </w:t>
            </w:r>
          </w:p>
          <w:p>
            <w:pPr>
              <w:tabs>
                <w:tab w:val="left" w:pos="2610"/>
              </w:tabs>
              <w:autoSpaceDE w:val="0"/>
              <w:autoSpaceDN w:val="0"/>
              <w:adjustRightInd w:val="0"/>
              <w:spacing w:after="0" w:line="240" w:lineRule="auto"/>
              <w:ind w:left="720"/>
              <w:rPr>
                <w:rFonts w:ascii="Times New Roman" w:hAnsi="Times New Roman" w:cs="Times New Roman"/>
                <w:sz w:val="20"/>
                <w:szCs w:val="20"/>
              </w:rPr>
            </w:pPr>
            <w:r>
              <w:rPr>
                <w:rFonts w:ascii="Times New Roman" w:hAnsi="Times New Roman" w:cs="Times New Roman"/>
                <w:sz w:val="20"/>
                <w:szCs w:val="20"/>
              </w:rPr>
              <w:t>No</w:t>
            </w:r>
          </w:p>
          <w:p>
            <w:pPr>
              <w:tabs>
                <w:tab w:val="left" w:pos="2610"/>
              </w:tabs>
              <w:autoSpaceDE w:val="0"/>
              <w:autoSpaceDN w:val="0"/>
              <w:adjustRightInd w:val="0"/>
              <w:spacing w:after="0" w:line="240" w:lineRule="auto"/>
              <w:ind w:left="720"/>
              <w:rPr>
                <w:rFonts w:ascii="Times New Roman" w:hAnsi="Times New Roman" w:cs="Times New Roman"/>
                <w:sz w:val="20"/>
                <w:szCs w:val="20"/>
              </w:rPr>
            </w:pPr>
            <w:r>
              <w:rPr>
                <w:rFonts w:ascii="Times New Roman" w:hAnsi="Times New Roman" w:cs="Times New Roman"/>
                <w:sz w:val="20"/>
                <w:szCs w:val="20"/>
              </w:rPr>
              <w:t>Yes</w:t>
            </w:r>
          </w:p>
        </w:tc>
        <w:tc>
          <w:tcPr>
            <w:tcW w:w="1176"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35</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891"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58.3</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3" w:type="dxa"/>
          </w:tcPr>
          <w:p>
            <w:pPr>
              <w:pStyle w:val="24"/>
              <w:numPr>
                <w:ilvl w:val="0"/>
                <w:numId w:val="2"/>
              </w:numPr>
              <w:tabs>
                <w:tab w:val="left" w:pos="2610"/>
              </w:tabs>
              <w:autoSpaceDE w:val="0"/>
              <w:autoSpaceDN w:val="0"/>
              <w:adjustRightInd w:val="0"/>
              <w:rPr>
                <w:sz w:val="20"/>
                <w:szCs w:val="20"/>
              </w:rPr>
            </w:pPr>
            <w:r>
              <w:rPr>
                <w:sz w:val="20"/>
                <w:szCs w:val="20"/>
                <w:shd w:val="clear" w:color="auto" w:fill="FFFFFF"/>
              </w:rPr>
              <w:t xml:space="preserve">On a scale of 0-10, post-operative patients with 5/10 do not need any analgesic. </w:t>
            </w:r>
          </w:p>
          <w:p>
            <w:pPr>
              <w:pStyle w:val="24"/>
              <w:tabs>
                <w:tab w:val="left" w:pos="2610"/>
              </w:tabs>
              <w:autoSpaceDE w:val="0"/>
              <w:autoSpaceDN w:val="0"/>
              <w:adjustRightInd w:val="0"/>
              <w:rPr>
                <w:sz w:val="20"/>
                <w:szCs w:val="20"/>
              </w:rPr>
            </w:pPr>
            <w:r>
              <w:rPr>
                <w:sz w:val="20"/>
                <w:szCs w:val="20"/>
              </w:rPr>
              <w:t>No</w:t>
            </w:r>
          </w:p>
          <w:p>
            <w:pPr>
              <w:tabs>
                <w:tab w:val="left" w:pos="2610"/>
              </w:tabs>
              <w:autoSpaceDE w:val="0"/>
              <w:autoSpaceDN w:val="0"/>
              <w:adjustRightInd w:val="0"/>
              <w:spacing w:after="0" w:line="240" w:lineRule="auto"/>
              <w:ind w:left="360"/>
              <w:rPr>
                <w:rFonts w:ascii="Times New Roman" w:hAnsi="Times New Roman" w:cs="Times New Roman"/>
                <w:sz w:val="20"/>
                <w:szCs w:val="20"/>
              </w:rPr>
            </w:pPr>
            <w:r>
              <w:rPr>
                <w:rFonts w:ascii="Times New Roman" w:hAnsi="Times New Roman" w:cs="Times New Roman"/>
                <w:sz w:val="20"/>
                <w:szCs w:val="20"/>
              </w:rPr>
              <w:t xml:space="preserve">     Yes</w:t>
            </w:r>
          </w:p>
        </w:tc>
        <w:tc>
          <w:tcPr>
            <w:tcW w:w="1176"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44</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891"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73.3</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3" w:type="dxa"/>
          </w:tcPr>
          <w:p>
            <w:pPr>
              <w:pStyle w:val="24"/>
              <w:numPr>
                <w:ilvl w:val="0"/>
                <w:numId w:val="2"/>
              </w:numPr>
              <w:tabs>
                <w:tab w:val="left" w:pos="2610"/>
              </w:tabs>
              <w:rPr>
                <w:sz w:val="20"/>
                <w:szCs w:val="20"/>
              </w:rPr>
            </w:pPr>
            <w:bookmarkStart w:id="153" w:name="_Hlk111027529"/>
            <w:r>
              <w:rPr>
                <w:sz w:val="20"/>
                <w:szCs w:val="20"/>
              </w:rPr>
              <w:t>On NRS three represents mild pain</w:t>
            </w:r>
          </w:p>
          <w:bookmarkEnd w:id="153"/>
          <w:p>
            <w:pPr>
              <w:tabs>
                <w:tab w:val="left" w:pos="2610"/>
              </w:tabs>
              <w:autoSpaceDE w:val="0"/>
              <w:autoSpaceDN w:val="0"/>
              <w:adjustRightInd w:val="0"/>
              <w:spacing w:after="0" w:line="240" w:lineRule="auto"/>
              <w:ind w:left="720"/>
              <w:rPr>
                <w:rFonts w:ascii="Times New Roman" w:hAnsi="Times New Roman" w:cs="Times New Roman"/>
                <w:sz w:val="20"/>
                <w:szCs w:val="20"/>
              </w:rPr>
            </w:pPr>
            <w:r>
              <w:rPr>
                <w:rFonts w:ascii="Times New Roman" w:hAnsi="Times New Roman" w:cs="Times New Roman"/>
                <w:sz w:val="20"/>
                <w:szCs w:val="20"/>
              </w:rPr>
              <w:t>No</w:t>
            </w:r>
          </w:p>
          <w:p>
            <w:pPr>
              <w:tabs>
                <w:tab w:val="left" w:pos="2610"/>
              </w:tabs>
              <w:autoSpaceDE w:val="0"/>
              <w:autoSpaceDN w:val="0"/>
              <w:adjustRightInd w:val="0"/>
              <w:spacing w:after="0" w:line="240" w:lineRule="auto"/>
              <w:ind w:left="720"/>
              <w:rPr>
                <w:rFonts w:ascii="Times New Roman" w:hAnsi="Times New Roman" w:cs="Times New Roman"/>
                <w:sz w:val="20"/>
                <w:szCs w:val="20"/>
              </w:rPr>
            </w:pPr>
            <w:r>
              <w:rPr>
                <w:rFonts w:ascii="Times New Roman" w:hAnsi="Times New Roman" w:cs="Times New Roman"/>
                <w:sz w:val="20"/>
                <w:szCs w:val="20"/>
              </w:rPr>
              <w:t>Yes</w:t>
            </w:r>
          </w:p>
        </w:tc>
        <w:tc>
          <w:tcPr>
            <w:tcW w:w="1176"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891"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20.0</w:t>
            </w:r>
          </w:p>
          <w:p>
            <w:pPr>
              <w:keepNext/>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3" w:type="dxa"/>
          </w:tcPr>
          <w:p>
            <w:pPr>
              <w:pStyle w:val="24"/>
              <w:numPr>
                <w:ilvl w:val="0"/>
                <w:numId w:val="2"/>
              </w:numPr>
              <w:tabs>
                <w:tab w:val="left" w:pos="2610"/>
              </w:tabs>
              <w:rPr>
                <w:sz w:val="20"/>
                <w:szCs w:val="20"/>
              </w:rPr>
            </w:pPr>
            <w:r>
              <w:rPr>
                <w:sz w:val="20"/>
                <w:szCs w:val="20"/>
              </w:rPr>
              <w:t>Today is Phillip’s 1st post-operative day, and as you enter his room, he smiles at you and continues talking and joking with his visitor. Is his pain intensity 10 on the NRS?</w:t>
            </w:r>
          </w:p>
          <w:p>
            <w:pPr>
              <w:pStyle w:val="24"/>
              <w:tabs>
                <w:tab w:val="left" w:pos="2610"/>
              </w:tabs>
              <w:rPr>
                <w:sz w:val="20"/>
                <w:szCs w:val="20"/>
              </w:rPr>
            </w:pPr>
            <w:r>
              <w:rPr>
                <w:sz w:val="20"/>
                <w:szCs w:val="20"/>
              </w:rPr>
              <w:t>No</w:t>
            </w:r>
          </w:p>
          <w:p>
            <w:pPr>
              <w:pStyle w:val="24"/>
              <w:tabs>
                <w:tab w:val="left" w:pos="2610"/>
              </w:tabs>
              <w:rPr>
                <w:sz w:val="20"/>
                <w:szCs w:val="20"/>
              </w:rPr>
            </w:pPr>
            <w:r>
              <w:rPr>
                <w:sz w:val="20"/>
                <w:szCs w:val="20"/>
              </w:rPr>
              <w:t>Yes</w:t>
            </w:r>
          </w:p>
        </w:tc>
        <w:tc>
          <w:tcPr>
            <w:tcW w:w="1176"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39</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891"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65.0</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3" w:type="dxa"/>
          </w:tcPr>
          <w:p>
            <w:pPr>
              <w:pStyle w:val="24"/>
              <w:numPr>
                <w:ilvl w:val="0"/>
                <w:numId w:val="2"/>
              </w:numPr>
              <w:tabs>
                <w:tab w:val="left" w:pos="2610"/>
              </w:tabs>
              <w:rPr>
                <w:sz w:val="20"/>
                <w:szCs w:val="20"/>
              </w:rPr>
            </w:pPr>
            <w:r>
              <w:rPr>
                <w:sz w:val="20"/>
                <w:szCs w:val="20"/>
              </w:rPr>
              <w:t>A patient report” I think about my pain all the time and give up many activities because of it”.  Is it right to score her 8 on the NRS?</w:t>
            </w:r>
          </w:p>
          <w:p>
            <w:pPr>
              <w:pStyle w:val="24"/>
              <w:tabs>
                <w:tab w:val="left" w:pos="2610"/>
              </w:tabs>
              <w:rPr>
                <w:sz w:val="20"/>
                <w:szCs w:val="20"/>
              </w:rPr>
            </w:pPr>
            <w:r>
              <w:rPr>
                <w:sz w:val="20"/>
                <w:szCs w:val="20"/>
              </w:rPr>
              <w:t>No</w:t>
            </w:r>
          </w:p>
          <w:p>
            <w:pPr>
              <w:pStyle w:val="24"/>
              <w:tabs>
                <w:tab w:val="left" w:pos="2610"/>
              </w:tabs>
              <w:rPr>
                <w:sz w:val="20"/>
                <w:szCs w:val="20"/>
              </w:rPr>
            </w:pPr>
            <w:r>
              <w:rPr>
                <w:sz w:val="20"/>
                <w:szCs w:val="20"/>
              </w:rPr>
              <w:t>Yes</w:t>
            </w:r>
          </w:p>
        </w:tc>
        <w:tc>
          <w:tcPr>
            <w:tcW w:w="1176"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891"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33.3</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3" w:type="dxa"/>
          </w:tcPr>
          <w:p>
            <w:pPr>
              <w:pStyle w:val="24"/>
              <w:numPr>
                <w:ilvl w:val="0"/>
                <w:numId w:val="2"/>
              </w:numPr>
              <w:tabs>
                <w:tab w:val="left" w:pos="2610"/>
              </w:tabs>
              <w:rPr>
                <w:sz w:val="20"/>
                <w:szCs w:val="20"/>
              </w:rPr>
            </w:pPr>
            <w:r>
              <w:rPr>
                <w:sz w:val="20"/>
                <w:szCs w:val="20"/>
              </w:rPr>
              <w:t>Miss N.B.M., said that “my pain bothers me, but I can ignore it most of the time. Could it be fine to score the pain as “5/10” on the NRS?</w:t>
            </w:r>
          </w:p>
          <w:p>
            <w:pPr>
              <w:pStyle w:val="24"/>
              <w:tabs>
                <w:tab w:val="left" w:pos="2610"/>
              </w:tabs>
              <w:rPr>
                <w:sz w:val="20"/>
                <w:szCs w:val="20"/>
              </w:rPr>
            </w:pPr>
            <w:r>
              <w:rPr>
                <w:sz w:val="20"/>
                <w:szCs w:val="20"/>
              </w:rPr>
              <w:t>No</w:t>
            </w:r>
          </w:p>
          <w:p>
            <w:pPr>
              <w:pStyle w:val="24"/>
              <w:tabs>
                <w:tab w:val="left" w:pos="2610"/>
              </w:tabs>
              <w:rPr>
                <w:sz w:val="20"/>
                <w:szCs w:val="20"/>
              </w:rPr>
            </w:pPr>
            <w:r>
              <w:rPr>
                <w:sz w:val="20"/>
                <w:szCs w:val="20"/>
              </w:rPr>
              <w:t>Yes</w:t>
            </w:r>
          </w:p>
        </w:tc>
        <w:tc>
          <w:tcPr>
            <w:tcW w:w="1176"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44</w:t>
            </w:r>
          </w:p>
        </w:tc>
        <w:tc>
          <w:tcPr>
            <w:tcW w:w="891"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26.7</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7283" w:type="dxa"/>
          </w:tcPr>
          <w:p>
            <w:pPr>
              <w:pStyle w:val="24"/>
              <w:numPr>
                <w:ilvl w:val="0"/>
                <w:numId w:val="2"/>
              </w:numPr>
              <w:tabs>
                <w:tab w:val="left" w:pos="2610"/>
              </w:tabs>
              <w:rPr>
                <w:sz w:val="20"/>
                <w:szCs w:val="20"/>
              </w:rPr>
            </w:pPr>
            <w:r>
              <w:rPr>
                <w:sz w:val="20"/>
                <w:szCs w:val="20"/>
              </w:rPr>
              <w:t>Today marks Mr. P. M.'s first postoperative day. He is discovered peacefully in bed, curled up in a fetal posture, grimacing as he turns. Is it accurate to rate her at an 8?</w:t>
            </w:r>
          </w:p>
          <w:p>
            <w:pPr>
              <w:pStyle w:val="24"/>
              <w:tabs>
                <w:tab w:val="left" w:pos="2610"/>
              </w:tabs>
              <w:rPr>
                <w:sz w:val="20"/>
                <w:szCs w:val="20"/>
              </w:rPr>
            </w:pPr>
            <w:r>
              <w:rPr>
                <w:sz w:val="20"/>
                <w:szCs w:val="20"/>
              </w:rPr>
              <w:t>No</w:t>
            </w:r>
          </w:p>
          <w:p>
            <w:pPr>
              <w:pStyle w:val="24"/>
              <w:tabs>
                <w:tab w:val="left" w:pos="2610"/>
              </w:tabs>
              <w:rPr>
                <w:sz w:val="20"/>
                <w:szCs w:val="20"/>
              </w:rPr>
            </w:pPr>
            <w:r>
              <w:rPr>
                <w:sz w:val="20"/>
                <w:szCs w:val="20"/>
              </w:rPr>
              <w:t>Yes</w:t>
            </w:r>
          </w:p>
        </w:tc>
        <w:tc>
          <w:tcPr>
            <w:tcW w:w="1176"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891"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33.3</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3" w:type="dxa"/>
          </w:tcPr>
          <w:p>
            <w:pPr>
              <w:pStyle w:val="24"/>
              <w:numPr>
                <w:ilvl w:val="0"/>
                <w:numId w:val="2"/>
              </w:numPr>
              <w:tabs>
                <w:tab w:val="left" w:pos="2610"/>
              </w:tabs>
              <w:rPr>
                <w:sz w:val="20"/>
                <w:szCs w:val="20"/>
              </w:rPr>
            </w:pPr>
            <w:r>
              <w:rPr>
                <w:sz w:val="20"/>
                <w:szCs w:val="20"/>
              </w:rPr>
              <w:t>If a patient sleeps with no movement postoperatively, this indicates that the patient is not in pain.</w:t>
            </w:r>
          </w:p>
          <w:p>
            <w:pPr>
              <w:pStyle w:val="24"/>
              <w:tabs>
                <w:tab w:val="left" w:pos="2610"/>
              </w:tabs>
              <w:rPr>
                <w:sz w:val="20"/>
                <w:szCs w:val="20"/>
              </w:rPr>
            </w:pPr>
            <w:r>
              <w:rPr>
                <w:sz w:val="20"/>
                <w:szCs w:val="20"/>
              </w:rPr>
              <w:t>No</w:t>
            </w:r>
          </w:p>
          <w:p>
            <w:pPr>
              <w:pStyle w:val="24"/>
              <w:tabs>
                <w:tab w:val="left" w:pos="2610"/>
              </w:tabs>
              <w:rPr>
                <w:sz w:val="20"/>
                <w:szCs w:val="20"/>
              </w:rPr>
            </w:pPr>
            <w:r>
              <w:rPr>
                <w:sz w:val="20"/>
                <w:szCs w:val="20"/>
              </w:rPr>
              <w:t>Yes</w:t>
            </w:r>
          </w:p>
        </w:tc>
        <w:tc>
          <w:tcPr>
            <w:tcW w:w="1176"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891"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40.0</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60.0</w:t>
            </w:r>
          </w:p>
        </w:tc>
      </w:tr>
    </w:tbl>
    <w:p>
      <w:pPr>
        <w:pStyle w:val="9"/>
        <w:tabs>
          <w:tab w:val="left" w:pos="2610"/>
        </w:tabs>
        <w:spacing w:line="480" w:lineRule="auto"/>
        <w:ind w:firstLine="720"/>
        <w:rPr>
          <w:rFonts w:ascii="Times New Roman" w:hAnsi="Times New Roman" w:cs="Times New Roman"/>
          <w:i w:val="0"/>
          <w:iCs w:val="0"/>
          <w:color w:val="auto"/>
          <w:sz w:val="20"/>
          <w:szCs w:val="20"/>
        </w:rPr>
      </w:pPr>
    </w:p>
    <w:p>
      <w:pPr>
        <w:pStyle w:val="9"/>
        <w:tabs>
          <w:tab w:val="left" w:pos="2610"/>
        </w:tabs>
        <w:spacing w:line="480" w:lineRule="auto"/>
        <w:ind w:firstLine="720"/>
        <w:jc w:val="both"/>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Table 2 shows that majority of the respondents had low knowledge towards scoring postoperative pain on the surgical ward. For example, more than sixty-three percent of the respondents (63.3%) knew that pain at level seven is not unmanageable. More than sixty-one percent (61.7%) of the respondents knew that pain at level “6” on the numerical rating scale is not severe. In addition, more than fifty-eight percent of the respondents (58.3%) knew that level “2” denoted some pain.  More than seventy-three percent of the respondents (73.3%) knew that a postoperative patient with pain at level “5” would need an analgesic. Also, eighty percent of the respondents (80%) knew that pain at level ‘3” represented mild pain. The vignettes/illustration that portray patient’s response to pain were used to ask how nurses would respond and rate the pain level on the NRS.</w:t>
      </w:r>
    </w:p>
    <w:bookmarkEnd w:id="142"/>
    <w:p>
      <w:pPr>
        <w:tabs>
          <w:tab w:val="left" w:pos="2610"/>
        </w:tabs>
        <w:spacing w:line="480" w:lineRule="auto"/>
        <w:ind w:firstLine="720"/>
        <w:jc w:val="both"/>
        <w:rPr>
          <w:rFonts w:ascii="Times New Roman" w:hAnsi="Times New Roman" w:cs="Times New Roman"/>
          <w:i/>
          <w:iCs/>
          <w:sz w:val="24"/>
          <w:szCs w:val="24"/>
        </w:rPr>
      </w:pPr>
      <w:bookmarkStart w:id="154" w:name="_Hlk108518431"/>
      <w:bookmarkStart w:id="155" w:name="_Hlk114926961"/>
      <w:r>
        <w:rPr>
          <w:rFonts w:ascii="Times New Roman" w:hAnsi="Times New Roman" w:cs="Times New Roman"/>
          <w:sz w:val="24"/>
          <w:szCs w:val="24"/>
        </w:rPr>
        <w:t>Further, sixty five percent (65%) of the respondents were aware that a pain rating of "10" is too intense for the patient to continue joking and chit-chatting with the visitors. More than sixty-six percent of the respondents (66.7%) knew that pain at level “8” can lead to patients giving up most of all their activities. Additionally, seventy-three percent of the respondents (73.3%) knew that the pain level of “5” could be ignored by the patient. Besides, sixty-six percent of the respondents (66.7%) knew that pain at level “8 “can affect the patient’s position in bed and also limit their movements.</w:t>
      </w:r>
      <w:r>
        <w:rPr>
          <w:rFonts w:ascii="Times New Roman" w:hAnsi="Times New Roman" w:cs="Times New Roman"/>
          <w:iCs/>
          <w:sz w:val="24"/>
          <w:szCs w:val="24"/>
        </w:rPr>
        <w:t xml:space="preserve"> Though there were a few who had low knowledge towards scoring post operative pain in relation to the baseline set (79% being acceptable knowledge). Questions (10) was stated such that the respondents who ticked “no” were likely to know the correct way of rating POP on the 0-10 NRS. The researcher further asked the respondents about the methods they used to manage postoperative pain and findings are presented in Table 3</w:t>
      </w:r>
      <w:r>
        <w:rPr>
          <w:rFonts w:ascii="Times New Roman" w:hAnsi="Times New Roman" w:cs="Times New Roman"/>
          <w:i/>
          <w:iCs/>
          <w:sz w:val="24"/>
          <w:szCs w:val="24"/>
        </w:rPr>
        <w:t>.</w:t>
      </w:r>
      <w:bookmarkEnd w:id="154"/>
      <w:bookmarkEnd w:id="155"/>
      <w:bookmarkStart w:id="156" w:name="_Toc120852243"/>
    </w:p>
    <w:bookmarkEnd w:id="156"/>
    <w:p>
      <w:pPr>
        <w:tabs>
          <w:tab w:val="left" w:pos="2610"/>
        </w:tabs>
        <w:spacing w:line="480" w:lineRule="auto"/>
        <w:ind w:firstLine="720"/>
        <w:jc w:val="both"/>
        <w:rPr>
          <w:rFonts w:ascii="Times New Roman" w:hAnsi="Times New Roman" w:cs="Times New Roman"/>
          <w:sz w:val="24"/>
          <w:szCs w:val="24"/>
        </w:rPr>
      </w:pPr>
    </w:p>
    <w:p>
      <w:bookmarkStart w:id="157" w:name="_Hlk109478086"/>
    </w:p>
    <w:p/>
    <w:p/>
    <w:p/>
    <w:p/>
    <w:p/>
    <w:p/>
    <w:p/>
    <w:p/>
    <w:p>
      <w:pPr>
        <w:pStyle w:val="9"/>
        <w:keepNext/>
        <w:rPr>
          <w:rFonts w:ascii="Times New Roman" w:hAnsi="Times New Roman" w:cs="Times New Roman"/>
          <w:sz w:val="24"/>
          <w:szCs w:val="24"/>
        </w:rPr>
      </w:pPr>
      <w:bookmarkStart w:id="158" w:name="_Toc134608193"/>
      <w:bookmarkStart w:id="159" w:name="_Toc134604174"/>
      <w:bookmarkStart w:id="160" w:name="_Toc120852244"/>
      <w:r>
        <w:rPr>
          <w:rFonts w:ascii="Times New Roman" w:hAnsi="Times New Roman" w:cs="Times New Roman"/>
          <w:sz w:val="24"/>
          <w:szCs w:val="24"/>
        </w:rPr>
        <w:t>Table 3 Assessment of post operative pain</w:t>
      </w:r>
      <w:bookmarkEnd w:id="158"/>
    </w:p>
    <w:bookmarkEnd w:id="157"/>
    <w:bookmarkEnd w:id="159"/>
    <w:bookmarkEnd w:id="160"/>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5"/>
        <w:gridCol w:w="990"/>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5" w:type="dxa"/>
          </w:tcPr>
          <w:p>
            <w:pPr>
              <w:tabs>
                <w:tab w:val="left" w:pos="2610"/>
              </w:tabs>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Variable</w:t>
            </w:r>
          </w:p>
        </w:tc>
        <w:tc>
          <w:tcPr>
            <w:tcW w:w="990" w:type="dxa"/>
          </w:tcPr>
          <w:p>
            <w:pPr>
              <w:tabs>
                <w:tab w:val="left" w:pos="2610"/>
              </w:tabs>
              <w:autoSpaceDE w:val="0"/>
              <w:autoSpaceDN w:val="0"/>
              <w:adjustRightInd w:val="0"/>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f</w:t>
            </w:r>
          </w:p>
        </w:tc>
        <w:tc>
          <w:tcPr>
            <w:tcW w:w="895"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5" w:type="dxa"/>
          </w:tcPr>
          <w:p>
            <w:pPr>
              <w:pStyle w:val="24"/>
              <w:numPr>
                <w:ilvl w:val="0"/>
                <w:numId w:val="3"/>
              </w:numPr>
              <w:tabs>
                <w:tab w:val="left" w:pos="2610"/>
              </w:tabs>
              <w:rPr>
                <w:sz w:val="20"/>
                <w:szCs w:val="20"/>
              </w:rPr>
            </w:pPr>
            <w:r>
              <w:rPr>
                <w:sz w:val="20"/>
                <w:szCs w:val="20"/>
              </w:rPr>
              <w:t>Typically, patients who can be distracted from POP do not experience severe pain.</w:t>
            </w:r>
          </w:p>
          <w:p>
            <w:pPr>
              <w:pStyle w:val="24"/>
              <w:tabs>
                <w:tab w:val="left" w:pos="2610"/>
              </w:tabs>
              <w:ind w:left="1440"/>
              <w:rPr>
                <w:sz w:val="20"/>
                <w:szCs w:val="20"/>
              </w:rPr>
            </w:pPr>
            <w:r>
              <w:rPr>
                <w:sz w:val="20"/>
                <w:szCs w:val="20"/>
              </w:rPr>
              <w:t>No</w:t>
            </w:r>
          </w:p>
          <w:p>
            <w:pPr>
              <w:pStyle w:val="24"/>
              <w:tabs>
                <w:tab w:val="left" w:pos="2610"/>
              </w:tabs>
              <w:ind w:left="1440"/>
              <w:rPr>
                <w:sz w:val="20"/>
                <w:szCs w:val="20"/>
              </w:rPr>
            </w:pPr>
            <w:r>
              <w:rPr>
                <w:sz w:val="20"/>
                <w:szCs w:val="20"/>
              </w:rPr>
              <w:t>Yes</w:t>
            </w:r>
          </w:p>
        </w:tc>
        <w:tc>
          <w:tcPr>
            <w:tcW w:w="990"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895"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5" w:type="dxa"/>
          </w:tcPr>
          <w:p>
            <w:pPr>
              <w:pStyle w:val="24"/>
              <w:numPr>
                <w:ilvl w:val="0"/>
                <w:numId w:val="3"/>
              </w:numPr>
              <w:tabs>
                <w:tab w:val="left" w:pos="2610"/>
              </w:tabs>
              <w:rPr>
                <w:sz w:val="20"/>
                <w:szCs w:val="20"/>
              </w:rPr>
            </w:pPr>
            <w:r>
              <w:rPr>
                <w:sz w:val="20"/>
                <w:szCs w:val="20"/>
              </w:rPr>
              <w:t>Following administration of a first dose of an opioid analgesic, future doses should be modified in line with each patient's reaction.</w:t>
            </w:r>
          </w:p>
          <w:p>
            <w:pPr>
              <w:pStyle w:val="24"/>
              <w:tabs>
                <w:tab w:val="left" w:pos="2610"/>
              </w:tabs>
              <w:ind w:left="1440"/>
              <w:rPr>
                <w:sz w:val="20"/>
                <w:szCs w:val="20"/>
              </w:rPr>
            </w:pPr>
            <w:r>
              <w:rPr>
                <w:sz w:val="20"/>
                <w:szCs w:val="20"/>
              </w:rPr>
              <w:t>No</w:t>
            </w:r>
          </w:p>
          <w:p>
            <w:pPr>
              <w:pStyle w:val="24"/>
              <w:tabs>
                <w:tab w:val="left" w:pos="2610"/>
              </w:tabs>
              <w:ind w:left="1440"/>
              <w:rPr>
                <w:sz w:val="20"/>
                <w:szCs w:val="20"/>
              </w:rPr>
            </w:pPr>
            <w:r>
              <w:rPr>
                <w:sz w:val="20"/>
                <w:szCs w:val="20"/>
              </w:rPr>
              <w:t>Yes</w:t>
            </w:r>
          </w:p>
        </w:tc>
        <w:tc>
          <w:tcPr>
            <w:tcW w:w="990"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49</w:t>
            </w:r>
          </w:p>
        </w:tc>
        <w:tc>
          <w:tcPr>
            <w:tcW w:w="895"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18.3</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5" w:type="dxa"/>
          </w:tcPr>
          <w:p>
            <w:pPr>
              <w:pStyle w:val="24"/>
              <w:numPr>
                <w:ilvl w:val="0"/>
                <w:numId w:val="3"/>
              </w:numPr>
              <w:tabs>
                <w:tab w:val="left" w:pos="2610"/>
              </w:tabs>
              <w:rPr>
                <w:sz w:val="20"/>
                <w:szCs w:val="20"/>
              </w:rPr>
            </w:pPr>
            <w:r>
              <w:rPr>
                <w:sz w:val="20"/>
                <w:szCs w:val="20"/>
              </w:rPr>
              <w:t>For the treatment of mild to moderate pain, non-drug therapies like touch, heat, and music are particularly beneficial.</w:t>
            </w:r>
          </w:p>
          <w:p>
            <w:pPr>
              <w:pStyle w:val="24"/>
              <w:tabs>
                <w:tab w:val="left" w:pos="2610"/>
              </w:tabs>
              <w:ind w:left="1440"/>
              <w:rPr>
                <w:sz w:val="20"/>
                <w:szCs w:val="20"/>
              </w:rPr>
            </w:pPr>
            <w:r>
              <w:rPr>
                <w:sz w:val="20"/>
                <w:szCs w:val="20"/>
              </w:rPr>
              <w:t>No</w:t>
            </w:r>
          </w:p>
          <w:p>
            <w:pPr>
              <w:pStyle w:val="24"/>
              <w:tabs>
                <w:tab w:val="left" w:pos="2610"/>
              </w:tabs>
              <w:ind w:left="1440"/>
              <w:rPr>
                <w:sz w:val="20"/>
                <w:szCs w:val="20"/>
              </w:rPr>
            </w:pPr>
            <w:r>
              <w:rPr>
                <w:sz w:val="20"/>
                <w:szCs w:val="20"/>
              </w:rPr>
              <w:t>Yes</w:t>
            </w:r>
          </w:p>
        </w:tc>
        <w:tc>
          <w:tcPr>
            <w:tcW w:w="990" w:type="dxa"/>
          </w:tcPr>
          <w:p>
            <w:pPr>
              <w:tabs>
                <w:tab w:val="left" w:pos="2610"/>
              </w:tabs>
              <w:autoSpaceDE w:val="0"/>
              <w:autoSpaceDN w:val="0"/>
              <w:adjustRightInd w:val="0"/>
              <w:spacing w:after="0" w:line="240" w:lineRule="auto"/>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895"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41.7</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5" w:type="dxa"/>
          </w:tcPr>
          <w:p>
            <w:pPr>
              <w:pStyle w:val="24"/>
              <w:numPr>
                <w:ilvl w:val="0"/>
                <w:numId w:val="3"/>
              </w:numPr>
              <w:tabs>
                <w:tab w:val="left" w:pos="2610"/>
              </w:tabs>
              <w:rPr>
                <w:sz w:val="20"/>
                <w:szCs w:val="20"/>
              </w:rPr>
            </w:pPr>
            <w:r>
              <w:rPr>
                <w:sz w:val="20"/>
                <w:szCs w:val="20"/>
              </w:rPr>
              <w:t xml:space="preserve">Prior to and following the administration of pain medication, pain should be evaluated. </w:t>
            </w:r>
          </w:p>
          <w:p>
            <w:pPr>
              <w:pStyle w:val="24"/>
              <w:tabs>
                <w:tab w:val="left" w:pos="2610"/>
              </w:tabs>
              <w:autoSpaceDE w:val="0"/>
              <w:autoSpaceDN w:val="0"/>
              <w:adjustRightInd w:val="0"/>
              <w:ind w:left="1440"/>
              <w:rPr>
                <w:sz w:val="20"/>
                <w:szCs w:val="20"/>
              </w:rPr>
            </w:pPr>
            <w:r>
              <w:rPr>
                <w:sz w:val="20"/>
                <w:szCs w:val="20"/>
              </w:rPr>
              <w:t>No</w:t>
            </w:r>
          </w:p>
          <w:p>
            <w:pPr>
              <w:pStyle w:val="24"/>
              <w:tabs>
                <w:tab w:val="left" w:pos="2610"/>
              </w:tabs>
              <w:autoSpaceDE w:val="0"/>
              <w:autoSpaceDN w:val="0"/>
              <w:adjustRightInd w:val="0"/>
              <w:ind w:left="1440"/>
              <w:rPr>
                <w:sz w:val="20"/>
                <w:szCs w:val="20"/>
              </w:rPr>
            </w:pPr>
            <w:r>
              <w:rPr>
                <w:sz w:val="20"/>
                <w:szCs w:val="20"/>
              </w:rPr>
              <w:t xml:space="preserve">Yes </w:t>
            </w:r>
          </w:p>
        </w:tc>
        <w:tc>
          <w:tcPr>
            <w:tcW w:w="990"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52</w:t>
            </w:r>
          </w:p>
        </w:tc>
        <w:tc>
          <w:tcPr>
            <w:tcW w:w="895"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13.8</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5" w:type="dxa"/>
          </w:tcPr>
          <w:p>
            <w:pPr>
              <w:pStyle w:val="24"/>
              <w:numPr>
                <w:ilvl w:val="0"/>
                <w:numId w:val="3"/>
              </w:numPr>
              <w:tabs>
                <w:tab w:val="left" w:pos="2610"/>
              </w:tabs>
              <w:rPr>
                <w:sz w:val="20"/>
                <w:szCs w:val="20"/>
              </w:rPr>
            </w:pPr>
            <w:r>
              <w:rPr>
                <w:sz w:val="20"/>
                <w:szCs w:val="20"/>
              </w:rPr>
              <w:t>Vital signs are always accurate predictors of how much pain a patient is experiencing.</w:t>
            </w:r>
          </w:p>
          <w:p>
            <w:pPr>
              <w:pStyle w:val="24"/>
              <w:tabs>
                <w:tab w:val="left" w:pos="2610"/>
              </w:tabs>
              <w:autoSpaceDE w:val="0"/>
              <w:autoSpaceDN w:val="0"/>
              <w:adjustRightInd w:val="0"/>
              <w:ind w:left="1440"/>
              <w:rPr>
                <w:sz w:val="20"/>
                <w:szCs w:val="20"/>
              </w:rPr>
            </w:pPr>
            <w:r>
              <w:rPr>
                <w:sz w:val="20"/>
                <w:szCs w:val="20"/>
              </w:rPr>
              <w:t>No</w:t>
            </w:r>
          </w:p>
          <w:p>
            <w:pPr>
              <w:pStyle w:val="24"/>
              <w:tabs>
                <w:tab w:val="left" w:pos="2610"/>
              </w:tabs>
              <w:autoSpaceDE w:val="0"/>
              <w:autoSpaceDN w:val="0"/>
              <w:adjustRightInd w:val="0"/>
              <w:ind w:left="1440"/>
              <w:rPr>
                <w:sz w:val="20"/>
                <w:szCs w:val="20"/>
              </w:rPr>
            </w:pPr>
            <w:r>
              <w:rPr>
                <w:sz w:val="20"/>
                <w:szCs w:val="20"/>
              </w:rPr>
              <w:t xml:space="preserve">Yes </w:t>
            </w:r>
          </w:p>
        </w:tc>
        <w:tc>
          <w:tcPr>
            <w:tcW w:w="990"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895"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5" w:type="dxa"/>
          </w:tcPr>
          <w:p>
            <w:pPr>
              <w:pStyle w:val="24"/>
              <w:numPr>
                <w:ilvl w:val="0"/>
                <w:numId w:val="3"/>
              </w:numPr>
              <w:tabs>
                <w:tab w:val="left" w:pos="2610"/>
              </w:tabs>
              <w:autoSpaceDE w:val="0"/>
              <w:autoSpaceDN w:val="0"/>
              <w:adjustRightInd w:val="0"/>
              <w:rPr>
                <w:sz w:val="20"/>
                <w:szCs w:val="20"/>
              </w:rPr>
            </w:pPr>
            <w:r>
              <w:rPr>
                <w:sz w:val="20"/>
                <w:szCs w:val="20"/>
              </w:rPr>
              <w:t xml:space="preserve">Physical assessment is part of pain management. </w:t>
            </w:r>
          </w:p>
          <w:p>
            <w:pPr>
              <w:pStyle w:val="24"/>
              <w:tabs>
                <w:tab w:val="left" w:pos="2610"/>
              </w:tabs>
              <w:autoSpaceDE w:val="0"/>
              <w:autoSpaceDN w:val="0"/>
              <w:adjustRightInd w:val="0"/>
              <w:ind w:left="1440"/>
              <w:rPr>
                <w:sz w:val="20"/>
                <w:szCs w:val="20"/>
              </w:rPr>
            </w:pPr>
            <w:r>
              <w:rPr>
                <w:sz w:val="20"/>
                <w:szCs w:val="20"/>
              </w:rPr>
              <w:t>No</w:t>
            </w:r>
          </w:p>
          <w:p>
            <w:pPr>
              <w:pStyle w:val="24"/>
              <w:tabs>
                <w:tab w:val="left" w:pos="2610"/>
              </w:tabs>
              <w:autoSpaceDE w:val="0"/>
              <w:autoSpaceDN w:val="0"/>
              <w:adjustRightInd w:val="0"/>
              <w:ind w:left="1440"/>
              <w:rPr>
                <w:sz w:val="20"/>
                <w:szCs w:val="20"/>
              </w:rPr>
            </w:pPr>
            <w:r>
              <w:rPr>
                <w:sz w:val="20"/>
                <w:szCs w:val="20"/>
              </w:rPr>
              <w:t xml:space="preserve">Yes </w:t>
            </w:r>
          </w:p>
        </w:tc>
        <w:tc>
          <w:tcPr>
            <w:tcW w:w="990"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46</w:t>
            </w:r>
          </w:p>
        </w:tc>
        <w:tc>
          <w:tcPr>
            <w:tcW w:w="895"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23,3</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7465" w:type="dxa"/>
          </w:tcPr>
          <w:p>
            <w:pPr>
              <w:pStyle w:val="24"/>
              <w:numPr>
                <w:ilvl w:val="0"/>
                <w:numId w:val="3"/>
              </w:numPr>
              <w:tabs>
                <w:tab w:val="left" w:pos="2610"/>
              </w:tabs>
              <w:rPr>
                <w:sz w:val="20"/>
                <w:szCs w:val="20"/>
              </w:rPr>
            </w:pPr>
            <w:bookmarkStart w:id="161" w:name="_Hlk114922650"/>
            <w:r>
              <w:rPr>
                <w:sz w:val="20"/>
                <w:szCs w:val="20"/>
              </w:rPr>
              <w:t>The primary nurse is the best assessor of the severity of the patient's discomfort.</w:t>
            </w:r>
          </w:p>
          <w:bookmarkEnd w:id="161"/>
          <w:p>
            <w:pPr>
              <w:pStyle w:val="24"/>
              <w:tabs>
                <w:tab w:val="left" w:pos="2610"/>
              </w:tabs>
              <w:autoSpaceDE w:val="0"/>
              <w:autoSpaceDN w:val="0"/>
              <w:adjustRightInd w:val="0"/>
              <w:ind w:left="1440"/>
              <w:rPr>
                <w:sz w:val="20"/>
                <w:szCs w:val="20"/>
              </w:rPr>
            </w:pPr>
            <w:r>
              <w:rPr>
                <w:sz w:val="20"/>
                <w:szCs w:val="20"/>
              </w:rPr>
              <w:t>No</w:t>
            </w:r>
          </w:p>
          <w:p>
            <w:pPr>
              <w:pStyle w:val="24"/>
              <w:tabs>
                <w:tab w:val="left" w:pos="2610"/>
              </w:tabs>
              <w:autoSpaceDE w:val="0"/>
              <w:autoSpaceDN w:val="0"/>
              <w:adjustRightInd w:val="0"/>
              <w:ind w:left="1440"/>
              <w:rPr>
                <w:sz w:val="20"/>
                <w:szCs w:val="20"/>
              </w:rPr>
            </w:pPr>
            <w:r>
              <w:rPr>
                <w:sz w:val="20"/>
                <w:szCs w:val="20"/>
              </w:rPr>
              <w:t xml:space="preserve">Yes </w:t>
            </w:r>
          </w:p>
        </w:tc>
        <w:tc>
          <w:tcPr>
            <w:tcW w:w="990"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39</w:t>
            </w:r>
          </w:p>
        </w:tc>
        <w:tc>
          <w:tcPr>
            <w:tcW w:w="895"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34.0</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7465" w:type="dxa"/>
          </w:tcPr>
          <w:p>
            <w:pPr>
              <w:pStyle w:val="24"/>
              <w:numPr>
                <w:ilvl w:val="0"/>
                <w:numId w:val="3"/>
              </w:numPr>
              <w:tabs>
                <w:tab w:val="left" w:pos="2610"/>
              </w:tabs>
              <w:autoSpaceDE w:val="0"/>
              <w:autoSpaceDN w:val="0"/>
              <w:adjustRightInd w:val="0"/>
              <w:rPr>
                <w:sz w:val="20"/>
                <w:szCs w:val="20"/>
              </w:rPr>
            </w:pPr>
            <w:r>
              <w:rPr>
                <w:sz w:val="20"/>
                <w:szCs w:val="20"/>
              </w:rPr>
              <w:t xml:space="preserve">Is character, onset, location &amp; duration of pain important in pain assessment? </w:t>
            </w:r>
          </w:p>
          <w:p>
            <w:pPr>
              <w:pStyle w:val="24"/>
              <w:tabs>
                <w:tab w:val="left" w:pos="2610"/>
              </w:tabs>
              <w:autoSpaceDE w:val="0"/>
              <w:autoSpaceDN w:val="0"/>
              <w:adjustRightInd w:val="0"/>
              <w:ind w:left="1440"/>
              <w:rPr>
                <w:sz w:val="20"/>
                <w:szCs w:val="20"/>
              </w:rPr>
            </w:pPr>
            <w:r>
              <w:rPr>
                <w:sz w:val="20"/>
                <w:szCs w:val="20"/>
              </w:rPr>
              <w:t>No</w:t>
            </w:r>
          </w:p>
          <w:p>
            <w:pPr>
              <w:pStyle w:val="24"/>
              <w:tabs>
                <w:tab w:val="left" w:pos="2610"/>
              </w:tabs>
              <w:autoSpaceDE w:val="0"/>
              <w:autoSpaceDN w:val="0"/>
              <w:adjustRightInd w:val="0"/>
              <w:ind w:left="1440"/>
              <w:rPr>
                <w:sz w:val="20"/>
                <w:szCs w:val="20"/>
              </w:rPr>
            </w:pPr>
            <w:r>
              <w:rPr>
                <w:sz w:val="20"/>
                <w:szCs w:val="20"/>
              </w:rPr>
              <w:t>Yes</w:t>
            </w:r>
          </w:p>
        </w:tc>
        <w:tc>
          <w:tcPr>
            <w:tcW w:w="990"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56</w:t>
            </w:r>
          </w:p>
          <w:p>
            <w:pPr>
              <w:tabs>
                <w:tab w:val="left" w:pos="2610"/>
              </w:tabs>
              <w:autoSpaceDE w:val="0"/>
              <w:autoSpaceDN w:val="0"/>
              <w:adjustRightInd w:val="0"/>
              <w:spacing w:after="0" w:line="240" w:lineRule="auto"/>
              <w:jc w:val="center"/>
              <w:rPr>
                <w:rFonts w:ascii="Times New Roman" w:hAnsi="Times New Roman" w:cs="Times New Roman"/>
                <w:sz w:val="20"/>
                <w:szCs w:val="20"/>
              </w:rPr>
            </w:pPr>
          </w:p>
        </w:tc>
        <w:tc>
          <w:tcPr>
            <w:tcW w:w="895"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6.7</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5" w:type="dxa"/>
          </w:tcPr>
          <w:p>
            <w:pPr>
              <w:pStyle w:val="24"/>
              <w:numPr>
                <w:ilvl w:val="0"/>
                <w:numId w:val="3"/>
              </w:numPr>
              <w:tabs>
                <w:tab w:val="left" w:pos="2610"/>
              </w:tabs>
              <w:rPr>
                <w:sz w:val="20"/>
                <w:szCs w:val="20"/>
              </w:rPr>
            </w:pPr>
            <w:r>
              <w:rPr>
                <w:sz w:val="20"/>
                <w:szCs w:val="20"/>
              </w:rPr>
              <w:t>In order to assess surgical discomfort, observation is a part of the process.</w:t>
            </w:r>
          </w:p>
          <w:p>
            <w:pPr>
              <w:pStyle w:val="24"/>
              <w:tabs>
                <w:tab w:val="left" w:pos="2610"/>
              </w:tabs>
              <w:autoSpaceDE w:val="0"/>
              <w:autoSpaceDN w:val="0"/>
              <w:adjustRightInd w:val="0"/>
              <w:ind w:left="1440"/>
              <w:rPr>
                <w:sz w:val="20"/>
                <w:szCs w:val="20"/>
              </w:rPr>
            </w:pPr>
            <w:r>
              <w:rPr>
                <w:sz w:val="20"/>
                <w:szCs w:val="20"/>
              </w:rPr>
              <w:t>No</w:t>
            </w:r>
          </w:p>
          <w:p>
            <w:pPr>
              <w:pStyle w:val="24"/>
              <w:tabs>
                <w:tab w:val="left" w:pos="2610"/>
              </w:tabs>
              <w:autoSpaceDE w:val="0"/>
              <w:autoSpaceDN w:val="0"/>
              <w:adjustRightInd w:val="0"/>
              <w:ind w:left="1440"/>
              <w:rPr>
                <w:sz w:val="20"/>
                <w:szCs w:val="20"/>
              </w:rPr>
            </w:pPr>
            <w:r>
              <w:rPr>
                <w:sz w:val="20"/>
                <w:szCs w:val="20"/>
              </w:rPr>
              <w:t>Yes</w:t>
            </w:r>
          </w:p>
        </w:tc>
        <w:tc>
          <w:tcPr>
            <w:tcW w:w="990"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895" w:type="dxa"/>
          </w:tcPr>
          <w:p>
            <w:pPr>
              <w:tabs>
                <w:tab w:val="left" w:pos="2610"/>
              </w:tabs>
              <w:spacing w:after="0" w:line="240" w:lineRule="auto"/>
              <w:jc w:val="center"/>
              <w:rPr>
                <w:rFonts w:ascii="Times New Roman" w:hAnsi="Times New Roman" w:cs="Times New Roman"/>
                <w:sz w:val="20"/>
                <w:szCs w:val="20"/>
              </w:rPr>
            </w:pPr>
          </w:p>
          <w:p>
            <w:pPr>
              <w:tabs>
                <w:tab w:val="left" w:pos="261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7465" w:type="dxa"/>
          </w:tcPr>
          <w:p>
            <w:pPr>
              <w:pStyle w:val="24"/>
              <w:numPr>
                <w:ilvl w:val="0"/>
                <w:numId w:val="3"/>
              </w:numPr>
              <w:tabs>
                <w:tab w:val="left" w:pos="2610"/>
              </w:tabs>
              <w:rPr>
                <w:sz w:val="20"/>
                <w:szCs w:val="20"/>
              </w:rPr>
            </w:pPr>
            <w:r>
              <w:rPr>
                <w:sz w:val="20"/>
                <w:szCs w:val="20"/>
              </w:rPr>
              <w:t>To identify cultural impacts on how pain is expressed, each patient needs to be evaluated separately.</w:t>
            </w:r>
          </w:p>
          <w:p>
            <w:pPr>
              <w:pStyle w:val="3"/>
              <w:ind w:left="1440"/>
              <w:rPr>
                <w:rFonts w:ascii="Times New Roman" w:hAnsi="Times New Roman" w:cs="Times New Roman"/>
                <w:b w:val="0"/>
                <w:bCs/>
                <w:sz w:val="20"/>
                <w:szCs w:val="20"/>
              </w:rPr>
            </w:pPr>
            <w:bookmarkStart w:id="162" w:name="_Toc142753423"/>
            <w:r>
              <w:rPr>
                <w:rFonts w:ascii="Times New Roman" w:hAnsi="Times New Roman" w:cs="Times New Roman"/>
                <w:b w:val="0"/>
                <w:bCs/>
                <w:sz w:val="20"/>
                <w:szCs w:val="20"/>
              </w:rPr>
              <w:t>No</w:t>
            </w:r>
            <w:bookmarkEnd w:id="162"/>
          </w:p>
          <w:p>
            <w:pPr>
              <w:pStyle w:val="24"/>
              <w:tabs>
                <w:tab w:val="left" w:pos="2610"/>
              </w:tabs>
              <w:ind w:left="1440"/>
              <w:rPr>
                <w:sz w:val="20"/>
                <w:szCs w:val="20"/>
              </w:rPr>
            </w:pPr>
            <w:r>
              <w:rPr>
                <w:bCs/>
                <w:sz w:val="20"/>
                <w:szCs w:val="20"/>
              </w:rPr>
              <w:t>Yes</w:t>
            </w:r>
          </w:p>
        </w:tc>
        <w:tc>
          <w:tcPr>
            <w:tcW w:w="990" w:type="dxa"/>
          </w:tcPr>
          <w:p>
            <w:pPr>
              <w:tabs>
                <w:tab w:val="left" w:pos="2610"/>
              </w:tabs>
              <w:spacing w:after="0" w:line="240" w:lineRule="auto"/>
              <w:jc w:val="center"/>
              <w:rPr>
                <w:rFonts w:ascii="Times New Roman" w:hAnsi="Times New Roman" w:cs="Times New Roman"/>
                <w:sz w:val="20"/>
                <w:szCs w:val="20"/>
              </w:rPr>
            </w:pPr>
          </w:p>
          <w:p>
            <w:pPr>
              <w:tabs>
                <w:tab w:val="left" w:pos="2610"/>
              </w:tabs>
              <w:spacing w:after="0" w:line="240" w:lineRule="auto"/>
              <w:jc w:val="center"/>
              <w:rPr>
                <w:rFonts w:ascii="Times New Roman" w:hAnsi="Times New Roman" w:cs="Times New Roman"/>
                <w:sz w:val="20"/>
                <w:szCs w:val="20"/>
              </w:rPr>
            </w:pPr>
          </w:p>
          <w:p>
            <w:pPr>
              <w:tabs>
                <w:tab w:val="left" w:pos="261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37</w:t>
            </w:r>
          </w:p>
        </w:tc>
        <w:tc>
          <w:tcPr>
            <w:tcW w:w="895" w:type="dxa"/>
          </w:tcPr>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38.3</w:t>
            </w:r>
          </w:p>
          <w:p>
            <w:pPr>
              <w:tabs>
                <w:tab w:val="left" w:pos="261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61.7</w:t>
            </w:r>
          </w:p>
          <w:p>
            <w:pPr>
              <w:tabs>
                <w:tab w:val="left" w:pos="2610"/>
              </w:tabs>
              <w:spacing w:after="0" w:line="240" w:lineRule="auto"/>
              <w:rPr>
                <w:rFonts w:ascii="Times New Roman" w:hAnsi="Times New Roman" w:cs="Times New Roman"/>
                <w:sz w:val="20"/>
                <w:szCs w:val="20"/>
              </w:rPr>
            </w:pPr>
          </w:p>
        </w:tc>
      </w:tr>
    </w:tbl>
    <w:p>
      <w:pPr>
        <w:tabs>
          <w:tab w:val="left" w:pos="2610"/>
        </w:tabs>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Table 3 shows that majority of the participants had good knowledge towards post pain management. For example, 80% of the respondents knew that postoperative patients who can be distracted from pain don’t suffer from severe pain. Also, more than eighty one percent of the respondents (81.7%) knew that after an initial dose of opioids, the subsequent doses were adjusted according to the patient’s level of pain.</w:t>
      </w:r>
      <w:r>
        <w:rPr>
          <w:rFonts w:ascii="Times New Roman" w:hAnsi="Times New Roman" w:cs="Times New Roman"/>
          <w:i/>
          <w:iCs/>
          <w:sz w:val="24"/>
          <w:szCs w:val="24"/>
        </w:rPr>
        <w:t xml:space="preserve"> </w:t>
      </w:r>
      <w:r>
        <w:rPr>
          <w:rFonts w:ascii="Times New Roman" w:hAnsi="Times New Roman" w:cs="Times New Roman"/>
          <w:sz w:val="24"/>
          <w:szCs w:val="24"/>
        </w:rPr>
        <w:t xml:space="preserve">However, some respondents had a low knowledge towards postoperative pain management. For example, more than forty one percent of the respondents (41.7%) didn’t know that Nondrug interventions e.g., music, heat, and touch are very effective for mild to moderate pain control.  The researcher further wanted to identify the nurse’s knowledge towards post operative pain assessment. </w:t>
      </w:r>
      <w:bookmarkStart w:id="163" w:name="_Hlk143551277"/>
      <w:r>
        <w:rPr>
          <w:rFonts w:ascii="Times New Roman" w:hAnsi="Times New Roman" w:cs="Times New Roman"/>
          <w:sz w:val="24"/>
          <w:szCs w:val="24"/>
        </w:rPr>
        <w:t xml:space="preserve">Questions (7) was stated such that the respondents who ticked “no” were likely to know the correct way of rating POP on the 0-10 NRS. </w:t>
      </w:r>
      <w:bookmarkEnd w:id="163"/>
      <w:r>
        <w:rPr>
          <w:rFonts w:ascii="Times New Roman" w:hAnsi="Times New Roman" w:cs="Times New Roman"/>
          <w:sz w:val="24"/>
          <w:szCs w:val="24"/>
        </w:rPr>
        <w:t xml:space="preserve">        </w:t>
      </w:r>
    </w:p>
    <w:p>
      <w:pPr>
        <w:tabs>
          <w:tab w:val="left" w:pos="2610"/>
        </w:tabs>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Moreover, eighty-six percent of the respondents (86.7%) knew that pain should be assessed before and after drug administration. Also, seventy-five percent (75%) of the respondents knew that vital signs were reliable indicators of the patient’s pain intensity postoperatively. In addition, more than seventy-six percent of the respondents (76.7%) knew that physical assessment was part of pain management. More than ninety-three percent of the respondents (93.7%) knew that the character, onset, location &amp; duration of pain were important parameters to observe when carrying out pain assessment. Additionally, majority of the respondents (75%) knew that observations are part of pain assessment.  However, some respondents had low knowledge towards post-operative pain assessment, for example, 66% of the respondents didn’t know that the most accurate judge of the intensity of the patient’s pain is the primary nurse. Also, more than thirty-eight percent of the respondent (38.3%) didn’t know that if a patient sleeps with no movement postoperatively, this indicated that the patient was not in pain. Likewise, 38.3% of the respondents didn’t know that patients should be individually assessed to determine cultural influences in pain expression. </w:t>
      </w:r>
    </w:p>
    <w:p>
      <w:pPr>
        <w:pStyle w:val="3"/>
        <w:spacing w:line="480" w:lineRule="auto"/>
        <w:rPr>
          <w:rFonts w:ascii="Times New Roman" w:hAnsi="Times New Roman" w:cs="Times New Roman"/>
          <w:b w:val="0"/>
          <w:sz w:val="24"/>
          <w:szCs w:val="24"/>
        </w:rPr>
      </w:pPr>
      <w:bookmarkStart w:id="164" w:name="_Toc142753424"/>
      <w:bookmarkStart w:id="165" w:name="_Toc134604175"/>
      <w:bookmarkStart w:id="166" w:name="_Hlk116128156"/>
      <w:r>
        <w:rPr>
          <w:rFonts w:ascii="Times New Roman" w:hAnsi="Times New Roman" w:cs="Times New Roman"/>
          <w:sz w:val="24"/>
          <w:szCs w:val="24"/>
        </w:rPr>
        <w:t>Posttest Knowledge of Postoperative Pain Management on the Surgical Ward</w:t>
      </w:r>
      <w:bookmarkEnd w:id="164"/>
      <w:bookmarkEnd w:id="165"/>
      <w:r>
        <w:rPr>
          <w:rFonts w:ascii="Times New Roman" w:hAnsi="Times New Roman" w:cs="Times New Roman"/>
          <w:sz w:val="24"/>
          <w:szCs w:val="24"/>
        </w:rPr>
        <w:t xml:space="preserve"> </w:t>
      </w:r>
    </w:p>
    <w:bookmarkEnd w:id="166"/>
    <w:p>
      <w:pPr>
        <w:spacing w:line="480" w:lineRule="auto"/>
        <w:jc w:val="both"/>
        <w:rPr>
          <w:rFonts w:ascii="Times New Roman" w:hAnsi="Times New Roman" w:cs="Times New Roman"/>
          <w:bCs/>
          <w:sz w:val="24"/>
          <w:szCs w:val="24"/>
        </w:rPr>
      </w:pPr>
      <w:bookmarkStart w:id="167" w:name="_Hlk116128293"/>
      <w:r>
        <w:rPr>
          <w:rFonts w:ascii="Times New Roman" w:hAnsi="Times New Roman" w:cs="Times New Roman"/>
          <w:sz w:val="24"/>
          <w:szCs w:val="24"/>
        </w:rPr>
        <w:t>Following the educational intervention of integrating the pain assessment scale to nurses’ knowledge, the researcher carried out a posttest to identify its effect to the nurse’s knowledge towards post-operative pain management. T</w:t>
      </w:r>
      <w:r>
        <w:rPr>
          <w:rFonts w:ascii="Times New Roman" w:hAnsi="Times New Roman" w:cs="Times New Roman"/>
          <w:bCs/>
          <w:sz w:val="24"/>
          <w:szCs w:val="24"/>
        </w:rPr>
        <w:t>he findings of the nurse’s knowledge towards rating and scoring post-operative pain using NRS (0-10) are well presented in Table 4.</w:t>
      </w:r>
      <w:bookmarkEnd w:id="167"/>
    </w:p>
    <w:p>
      <w:pPr>
        <w:pStyle w:val="9"/>
        <w:keepNext/>
        <w:rPr>
          <w:rFonts w:ascii="Times New Roman" w:hAnsi="Times New Roman" w:cs="Times New Roman"/>
          <w:sz w:val="24"/>
          <w:szCs w:val="24"/>
        </w:rPr>
      </w:pPr>
      <w:bookmarkStart w:id="168" w:name="_Toc134608194"/>
      <w:bookmarkStart w:id="169" w:name="_Toc134604176"/>
      <w:bookmarkStart w:id="170" w:name="_Toc120852246"/>
      <w:bookmarkStart w:id="171" w:name="_Hlk114926112"/>
      <w:r>
        <w:rPr>
          <w:rFonts w:ascii="Times New Roman" w:hAnsi="Times New Roman" w:cs="Times New Roman"/>
          <w:sz w:val="24"/>
          <w:szCs w:val="24"/>
        </w:rPr>
        <w:t>Table 4: Rating and scoring post-operative pain.</w:t>
      </w:r>
      <w:bookmarkEnd w:id="168"/>
    </w:p>
    <w:bookmarkEnd w:id="169"/>
    <w:bookmarkEnd w:id="170"/>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5"/>
        <w:gridCol w:w="1080"/>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5"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Variable</w:t>
            </w:r>
          </w:p>
        </w:tc>
        <w:tc>
          <w:tcPr>
            <w:tcW w:w="1080" w:type="dxa"/>
          </w:tcPr>
          <w:p>
            <w:pPr>
              <w:tabs>
                <w:tab w:val="left" w:pos="2610"/>
              </w:tabs>
              <w:autoSpaceDE w:val="0"/>
              <w:autoSpaceDN w:val="0"/>
              <w:adjustRightInd w:val="0"/>
              <w:spacing w:after="0" w:line="240" w:lineRule="auto"/>
              <w:jc w:val="center"/>
              <w:rPr>
                <w:rFonts w:ascii="Times New Roman" w:hAnsi="Times New Roman" w:eastAsia="Times New Roman" w:cs="Times New Roman"/>
                <w:i/>
                <w:iCs/>
                <w:sz w:val="20"/>
                <w:szCs w:val="20"/>
              </w:rPr>
            </w:pPr>
            <w:r>
              <w:rPr>
                <w:rFonts w:ascii="Times New Roman" w:hAnsi="Times New Roman" w:eastAsia="Times New Roman" w:cs="Times New Roman"/>
                <w:i/>
                <w:iCs/>
                <w:sz w:val="20"/>
                <w:szCs w:val="20"/>
              </w:rPr>
              <w:t>f</w:t>
            </w:r>
          </w:p>
        </w:tc>
        <w:tc>
          <w:tcPr>
            <w:tcW w:w="895"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7375" w:type="dxa"/>
          </w:tcPr>
          <w:p>
            <w:pPr>
              <w:pStyle w:val="24"/>
              <w:numPr>
                <w:ilvl w:val="0"/>
                <w:numId w:val="4"/>
              </w:numPr>
              <w:tabs>
                <w:tab w:val="left" w:pos="2610"/>
              </w:tabs>
              <w:rPr>
                <w:rFonts w:eastAsia="Times New Roman"/>
                <w:sz w:val="20"/>
                <w:szCs w:val="20"/>
              </w:rPr>
            </w:pPr>
            <w:r>
              <w:rPr>
                <w:rFonts w:eastAsia="Times New Roman"/>
                <w:sz w:val="20"/>
                <w:szCs w:val="20"/>
              </w:rPr>
              <w:t>On the NRS, is seven unmanageable?</w:t>
            </w:r>
          </w:p>
          <w:p>
            <w:pPr>
              <w:pStyle w:val="24"/>
              <w:tabs>
                <w:tab w:val="left" w:pos="2610"/>
              </w:tabs>
              <w:autoSpaceDE w:val="0"/>
              <w:autoSpaceDN w:val="0"/>
              <w:adjustRightInd w:val="0"/>
              <w:ind w:left="1440"/>
              <w:rPr>
                <w:rFonts w:eastAsia="Times New Roman"/>
                <w:sz w:val="20"/>
                <w:szCs w:val="20"/>
              </w:rPr>
            </w:pPr>
            <w:r>
              <w:rPr>
                <w:rFonts w:eastAsia="Times New Roman"/>
                <w:sz w:val="20"/>
                <w:szCs w:val="20"/>
              </w:rPr>
              <w:t>No</w:t>
            </w:r>
          </w:p>
          <w:p>
            <w:pPr>
              <w:pStyle w:val="24"/>
              <w:tabs>
                <w:tab w:val="left" w:pos="2610"/>
              </w:tabs>
              <w:autoSpaceDE w:val="0"/>
              <w:autoSpaceDN w:val="0"/>
              <w:adjustRightInd w:val="0"/>
              <w:ind w:left="1440"/>
              <w:rPr>
                <w:rFonts w:eastAsia="Times New Roman"/>
                <w:sz w:val="20"/>
                <w:szCs w:val="20"/>
              </w:rPr>
            </w:pPr>
            <w:r>
              <w:rPr>
                <w:rFonts w:eastAsia="Times New Roman"/>
                <w:sz w:val="20"/>
                <w:szCs w:val="20"/>
              </w:rPr>
              <w:t>Yes</w:t>
            </w:r>
          </w:p>
        </w:tc>
        <w:tc>
          <w:tcPr>
            <w:tcW w:w="1080"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24</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895"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40.0</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5" w:type="dxa"/>
          </w:tcPr>
          <w:p>
            <w:pPr>
              <w:pStyle w:val="24"/>
              <w:numPr>
                <w:ilvl w:val="0"/>
                <w:numId w:val="4"/>
              </w:numPr>
              <w:tabs>
                <w:tab w:val="left" w:pos="2610"/>
              </w:tabs>
              <w:rPr>
                <w:rFonts w:eastAsia="Times New Roman"/>
                <w:sz w:val="20"/>
                <w:szCs w:val="20"/>
              </w:rPr>
            </w:pPr>
            <w:r>
              <w:rPr>
                <w:rFonts w:eastAsia="Times New Roman"/>
                <w:sz w:val="20"/>
                <w:szCs w:val="20"/>
              </w:rPr>
              <w:t>On NRS six denotes severe pain</w:t>
            </w:r>
          </w:p>
          <w:p>
            <w:pPr>
              <w:pStyle w:val="24"/>
              <w:tabs>
                <w:tab w:val="left" w:pos="2610"/>
              </w:tabs>
              <w:autoSpaceDE w:val="0"/>
              <w:autoSpaceDN w:val="0"/>
              <w:adjustRightInd w:val="0"/>
              <w:ind w:left="1440"/>
              <w:rPr>
                <w:rFonts w:eastAsia="Times New Roman"/>
                <w:sz w:val="20"/>
                <w:szCs w:val="20"/>
              </w:rPr>
            </w:pPr>
            <w:r>
              <w:rPr>
                <w:rFonts w:eastAsia="Times New Roman"/>
                <w:sz w:val="20"/>
                <w:szCs w:val="20"/>
              </w:rPr>
              <w:t>No</w:t>
            </w:r>
          </w:p>
          <w:p>
            <w:pPr>
              <w:pStyle w:val="24"/>
              <w:tabs>
                <w:tab w:val="left" w:pos="2610"/>
              </w:tabs>
              <w:autoSpaceDE w:val="0"/>
              <w:autoSpaceDN w:val="0"/>
              <w:adjustRightInd w:val="0"/>
              <w:ind w:left="1440"/>
              <w:rPr>
                <w:rFonts w:eastAsia="Times New Roman"/>
                <w:sz w:val="20"/>
                <w:szCs w:val="20"/>
              </w:rPr>
            </w:pPr>
            <w:r>
              <w:rPr>
                <w:rFonts w:eastAsia="Times New Roman"/>
                <w:sz w:val="20"/>
                <w:szCs w:val="20"/>
              </w:rPr>
              <w:t xml:space="preserve">Yes </w:t>
            </w:r>
          </w:p>
        </w:tc>
        <w:tc>
          <w:tcPr>
            <w:tcW w:w="1080"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25</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895"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41.7</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5" w:type="dxa"/>
          </w:tcPr>
          <w:p>
            <w:pPr>
              <w:pStyle w:val="24"/>
              <w:numPr>
                <w:ilvl w:val="0"/>
                <w:numId w:val="4"/>
              </w:numPr>
              <w:tabs>
                <w:tab w:val="left" w:pos="2610"/>
              </w:tabs>
              <w:autoSpaceDE w:val="0"/>
              <w:autoSpaceDN w:val="0"/>
              <w:adjustRightInd w:val="0"/>
              <w:rPr>
                <w:rFonts w:eastAsia="Times New Roman"/>
                <w:sz w:val="20"/>
                <w:szCs w:val="20"/>
              </w:rPr>
            </w:pPr>
            <w:r>
              <w:rPr>
                <w:rFonts w:eastAsia="Times New Roman"/>
                <w:sz w:val="20"/>
                <w:szCs w:val="20"/>
              </w:rPr>
              <w:t xml:space="preserve">Does level 2 on the NRS denote no pain at all? </w:t>
            </w:r>
          </w:p>
          <w:p>
            <w:pPr>
              <w:pStyle w:val="24"/>
              <w:tabs>
                <w:tab w:val="left" w:pos="2610"/>
              </w:tabs>
              <w:autoSpaceDE w:val="0"/>
              <w:autoSpaceDN w:val="0"/>
              <w:adjustRightInd w:val="0"/>
              <w:ind w:left="1440"/>
              <w:rPr>
                <w:rFonts w:eastAsia="Times New Roman"/>
                <w:sz w:val="20"/>
                <w:szCs w:val="20"/>
              </w:rPr>
            </w:pPr>
            <w:r>
              <w:rPr>
                <w:rFonts w:eastAsia="Times New Roman"/>
                <w:sz w:val="20"/>
                <w:szCs w:val="20"/>
              </w:rPr>
              <w:t>No</w:t>
            </w:r>
          </w:p>
          <w:p>
            <w:pPr>
              <w:pStyle w:val="24"/>
              <w:tabs>
                <w:tab w:val="left" w:pos="2610"/>
              </w:tabs>
              <w:autoSpaceDE w:val="0"/>
              <w:autoSpaceDN w:val="0"/>
              <w:adjustRightInd w:val="0"/>
              <w:ind w:left="1440"/>
              <w:rPr>
                <w:rFonts w:eastAsia="Times New Roman"/>
                <w:sz w:val="20"/>
                <w:szCs w:val="20"/>
              </w:rPr>
            </w:pPr>
            <w:r>
              <w:rPr>
                <w:rFonts w:eastAsia="Times New Roman"/>
                <w:sz w:val="20"/>
                <w:szCs w:val="20"/>
              </w:rPr>
              <w:t>Yes</w:t>
            </w:r>
          </w:p>
        </w:tc>
        <w:tc>
          <w:tcPr>
            <w:tcW w:w="1080"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28</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895"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46.7</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7375" w:type="dxa"/>
          </w:tcPr>
          <w:p>
            <w:pPr>
              <w:pStyle w:val="24"/>
              <w:numPr>
                <w:ilvl w:val="0"/>
                <w:numId w:val="4"/>
              </w:numPr>
              <w:tabs>
                <w:tab w:val="left" w:pos="2610"/>
              </w:tabs>
              <w:autoSpaceDE w:val="0"/>
              <w:autoSpaceDN w:val="0"/>
              <w:adjustRightInd w:val="0"/>
              <w:rPr>
                <w:rFonts w:eastAsia="Times New Roman"/>
                <w:sz w:val="20"/>
                <w:szCs w:val="20"/>
                <w:shd w:val="clear" w:color="auto" w:fill="FFFFFF"/>
              </w:rPr>
            </w:pPr>
            <w:r>
              <w:rPr>
                <w:rFonts w:eastAsia="Times New Roman"/>
                <w:sz w:val="20"/>
                <w:szCs w:val="20"/>
                <w:shd w:val="clear" w:color="auto" w:fill="FFFFFF"/>
              </w:rPr>
              <w:t>On a scale of 0-10, postoperative patients with 5/10 do not need any analgesic.</w:t>
            </w:r>
          </w:p>
          <w:p>
            <w:pPr>
              <w:pStyle w:val="24"/>
              <w:tabs>
                <w:tab w:val="left" w:pos="2610"/>
              </w:tabs>
              <w:autoSpaceDE w:val="0"/>
              <w:autoSpaceDN w:val="0"/>
              <w:adjustRightInd w:val="0"/>
              <w:ind w:left="1440"/>
              <w:rPr>
                <w:rFonts w:eastAsia="Times New Roman"/>
                <w:sz w:val="20"/>
                <w:szCs w:val="20"/>
              </w:rPr>
            </w:pPr>
            <w:r>
              <w:rPr>
                <w:rFonts w:eastAsia="Times New Roman"/>
                <w:sz w:val="20"/>
                <w:szCs w:val="20"/>
              </w:rPr>
              <w:t>No</w:t>
            </w:r>
          </w:p>
          <w:p>
            <w:pPr>
              <w:pStyle w:val="24"/>
              <w:tabs>
                <w:tab w:val="left" w:pos="2610"/>
              </w:tabs>
              <w:autoSpaceDE w:val="0"/>
              <w:autoSpaceDN w:val="0"/>
              <w:adjustRightInd w:val="0"/>
              <w:ind w:left="1440"/>
              <w:rPr>
                <w:rFonts w:eastAsia="Times New Roman"/>
                <w:sz w:val="20"/>
                <w:szCs w:val="20"/>
              </w:rPr>
            </w:pPr>
            <w:r>
              <w:rPr>
                <w:rFonts w:eastAsia="Times New Roman"/>
                <w:sz w:val="20"/>
                <w:szCs w:val="20"/>
              </w:rPr>
              <w:t>Yes</w:t>
            </w: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tc>
        <w:tc>
          <w:tcPr>
            <w:tcW w:w="1080"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23</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895"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38.3</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5" w:type="dxa"/>
          </w:tcPr>
          <w:p>
            <w:pPr>
              <w:pStyle w:val="24"/>
              <w:numPr>
                <w:ilvl w:val="0"/>
                <w:numId w:val="4"/>
              </w:numPr>
              <w:tabs>
                <w:tab w:val="left" w:pos="2610"/>
              </w:tabs>
              <w:rPr>
                <w:rFonts w:eastAsia="Times New Roman"/>
                <w:sz w:val="20"/>
                <w:szCs w:val="20"/>
              </w:rPr>
            </w:pPr>
            <w:r>
              <w:rPr>
                <w:rFonts w:eastAsia="Times New Roman"/>
                <w:sz w:val="20"/>
                <w:szCs w:val="20"/>
              </w:rPr>
              <w:t>On the NRS level, three represents mild pain.</w:t>
            </w:r>
          </w:p>
          <w:p>
            <w:pPr>
              <w:pStyle w:val="24"/>
              <w:tabs>
                <w:tab w:val="left" w:pos="2610"/>
              </w:tabs>
              <w:autoSpaceDE w:val="0"/>
              <w:autoSpaceDN w:val="0"/>
              <w:adjustRightInd w:val="0"/>
              <w:ind w:left="1440"/>
              <w:rPr>
                <w:rFonts w:eastAsia="Times New Roman"/>
                <w:sz w:val="20"/>
                <w:szCs w:val="20"/>
              </w:rPr>
            </w:pPr>
            <w:r>
              <w:rPr>
                <w:rFonts w:eastAsia="Times New Roman"/>
                <w:sz w:val="20"/>
                <w:szCs w:val="20"/>
              </w:rPr>
              <w:t>No</w:t>
            </w:r>
          </w:p>
          <w:p>
            <w:pPr>
              <w:pStyle w:val="24"/>
              <w:tabs>
                <w:tab w:val="left" w:pos="2610"/>
              </w:tabs>
              <w:autoSpaceDE w:val="0"/>
              <w:autoSpaceDN w:val="0"/>
              <w:adjustRightInd w:val="0"/>
              <w:ind w:left="1440"/>
              <w:rPr>
                <w:rFonts w:eastAsia="Times New Roman"/>
                <w:sz w:val="20"/>
                <w:szCs w:val="20"/>
              </w:rPr>
            </w:pPr>
            <w:r>
              <w:rPr>
                <w:rFonts w:eastAsia="Times New Roman"/>
                <w:sz w:val="20"/>
                <w:szCs w:val="20"/>
              </w:rPr>
              <w:t>Yes</w:t>
            </w: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tc>
        <w:tc>
          <w:tcPr>
            <w:tcW w:w="1080"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895"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6.7</w:t>
            </w:r>
          </w:p>
          <w:p>
            <w:pPr>
              <w:keepNext/>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5" w:type="dxa"/>
          </w:tcPr>
          <w:p>
            <w:pPr>
              <w:pStyle w:val="24"/>
              <w:numPr>
                <w:ilvl w:val="0"/>
                <w:numId w:val="4"/>
              </w:numPr>
              <w:tabs>
                <w:tab w:val="left" w:pos="2610"/>
              </w:tabs>
              <w:autoSpaceDE w:val="0"/>
              <w:autoSpaceDN w:val="0"/>
              <w:adjustRightInd w:val="0"/>
              <w:rPr>
                <w:rFonts w:eastAsia="Times New Roman"/>
                <w:sz w:val="20"/>
                <w:szCs w:val="20"/>
              </w:rPr>
            </w:pPr>
            <w:r>
              <w:rPr>
                <w:rFonts w:eastAsia="Times New Roman"/>
                <w:sz w:val="20"/>
                <w:szCs w:val="20"/>
              </w:rPr>
              <w:t>Today is Phillip’s 1st post-operative day, and as you enter his room, he smiles at you and continues talking and joking with his visitor. Is his pain intensity 10 on the NRS?</w:t>
            </w:r>
          </w:p>
          <w:p>
            <w:pPr>
              <w:pStyle w:val="24"/>
              <w:tabs>
                <w:tab w:val="left" w:pos="2610"/>
              </w:tabs>
              <w:autoSpaceDE w:val="0"/>
              <w:autoSpaceDN w:val="0"/>
              <w:adjustRightInd w:val="0"/>
              <w:ind w:left="1440"/>
              <w:rPr>
                <w:rFonts w:eastAsia="Times New Roman"/>
                <w:sz w:val="20"/>
                <w:szCs w:val="20"/>
              </w:rPr>
            </w:pPr>
            <w:r>
              <w:rPr>
                <w:rFonts w:eastAsia="Times New Roman"/>
                <w:sz w:val="20"/>
                <w:szCs w:val="20"/>
              </w:rPr>
              <w:t>No</w:t>
            </w:r>
          </w:p>
          <w:p>
            <w:pPr>
              <w:pStyle w:val="24"/>
              <w:tabs>
                <w:tab w:val="left" w:pos="2610"/>
              </w:tabs>
              <w:autoSpaceDE w:val="0"/>
              <w:autoSpaceDN w:val="0"/>
              <w:adjustRightInd w:val="0"/>
              <w:ind w:left="1440"/>
              <w:rPr>
                <w:rFonts w:eastAsia="Times New Roman"/>
                <w:sz w:val="20"/>
                <w:szCs w:val="20"/>
              </w:rPr>
            </w:pPr>
            <w:r>
              <w:rPr>
                <w:rFonts w:eastAsia="Times New Roman"/>
                <w:sz w:val="20"/>
                <w:szCs w:val="20"/>
              </w:rPr>
              <w:t>Yes</w:t>
            </w:r>
          </w:p>
        </w:tc>
        <w:tc>
          <w:tcPr>
            <w:tcW w:w="1080"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19</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41</w:t>
            </w:r>
          </w:p>
        </w:tc>
        <w:tc>
          <w:tcPr>
            <w:tcW w:w="895"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31.7</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5" w:type="dxa"/>
          </w:tcPr>
          <w:p>
            <w:pPr>
              <w:pStyle w:val="24"/>
              <w:numPr>
                <w:ilvl w:val="0"/>
                <w:numId w:val="4"/>
              </w:numPr>
              <w:tabs>
                <w:tab w:val="left" w:pos="2610"/>
              </w:tabs>
              <w:autoSpaceDE w:val="0"/>
              <w:autoSpaceDN w:val="0"/>
              <w:adjustRightInd w:val="0"/>
              <w:rPr>
                <w:rFonts w:eastAsia="Times New Roman"/>
                <w:sz w:val="20"/>
                <w:szCs w:val="20"/>
              </w:rPr>
            </w:pPr>
            <w:r>
              <w:rPr>
                <w:rFonts w:eastAsia="Times New Roman"/>
                <w:sz w:val="20"/>
                <w:szCs w:val="20"/>
              </w:rPr>
              <w:t>A patient-reported,” I think about my pain all the time and give up many activities because of pain”.  Is it right to score her 8?</w:t>
            </w:r>
          </w:p>
          <w:p>
            <w:pPr>
              <w:pStyle w:val="24"/>
              <w:tabs>
                <w:tab w:val="left" w:pos="2610"/>
              </w:tabs>
              <w:autoSpaceDE w:val="0"/>
              <w:autoSpaceDN w:val="0"/>
              <w:adjustRightInd w:val="0"/>
              <w:ind w:left="1440"/>
              <w:rPr>
                <w:rFonts w:eastAsia="Times New Roman"/>
                <w:sz w:val="20"/>
                <w:szCs w:val="20"/>
              </w:rPr>
            </w:pPr>
            <w:r>
              <w:rPr>
                <w:rFonts w:eastAsia="Times New Roman"/>
                <w:sz w:val="20"/>
                <w:szCs w:val="20"/>
              </w:rPr>
              <w:t>No</w:t>
            </w:r>
          </w:p>
          <w:p>
            <w:pPr>
              <w:pStyle w:val="24"/>
              <w:tabs>
                <w:tab w:val="left" w:pos="2610"/>
              </w:tabs>
              <w:autoSpaceDE w:val="0"/>
              <w:autoSpaceDN w:val="0"/>
              <w:adjustRightInd w:val="0"/>
              <w:ind w:left="1440"/>
              <w:rPr>
                <w:rFonts w:eastAsia="Times New Roman"/>
                <w:sz w:val="20"/>
                <w:szCs w:val="20"/>
              </w:rPr>
            </w:pPr>
            <w:r>
              <w:rPr>
                <w:rFonts w:eastAsia="Times New Roman"/>
                <w:sz w:val="20"/>
                <w:szCs w:val="20"/>
              </w:rPr>
              <w:t>Yes</w:t>
            </w:r>
          </w:p>
        </w:tc>
        <w:tc>
          <w:tcPr>
            <w:tcW w:w="1080"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14</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46</w:t>
            </w:r>
          </w:p>
        </w:tc>
        <w:tc>
          <w:tcPr>
            <w:tcW w:w="895"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23.3</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5" w:type="dxa"/>
          </w:tcPr>
          <w:p>
            <w:pPr>
              <w:pStyle w:val="24"/>
              <w:numPr>
                <w:ilvl w:val="0"/>
                <w:numId w:val="4"/>
              </w:numPr>
              <w:tabs>
                <w:tab w:val="left" w:pos="2610"/>
              </w:tabs>
              <w:autoSpaceDE w:val="0"/>
              <w:autoSpaceDN w:val="0"/>
              <w:adjustRightInd w:val="0"/>
              <w:rPr>
                <w:rFonts w:eastAsia="Times New Roman"/>
                <w:sz w:val="20"/>
                <w:szCs w:val="20"/>
              </w:rPr>
            </w:pPr>
            <w:r>
              <w:rPr>
                <w:rFonts w:eastAsia="Times New Roman"/>
                <w:sz w:val="20"/>
                <w:szCs w:val="20"/>
              </w:rPr>
              <w:t>Miss N.B.M., said that “My pain bothers me, but I can ignore it most of the time. Could it be fine to score the pain as “5”?</w:t>
            </w:r>
          </w:p>
          <w:p>
            <w:pPr>
              <w:pStyle w:val="24"/>
              <w:tabs>
                <w:tab w:val="left" w:pos="2610"/>
              </w:tabs>
              <w:autoSpaceDE w:val="0"/>
              <w:autoSpaceDN w:val="0"/>
              <w:adjustRightInd w:val="0"/>
              <w:ind w:left="1440"/>
              <w:rPr>
                <w:rFonts w:eastAsia="Times New Roman"/>
                <w:sz w:val="20"/>
                <w:szCs w:val="20"/>
              </w:rPr>
            </w:pPr>
            <w:r>
              <w:rPr>
                <w:rFonts w:eastAsia="Times New Roman"/>
                <w:sz w:val="20"/>
                <w:szCs w:val="20"/>
              </w:rPr>
              <w:t>No</w:t>
            </w:r>
          </w:p>
          <w:p>
            <w:pPr>
              <w:pStyle w:val="24"/>
              <w:tabs>
                <w:tab w:val="left" w:pos="2610"/>
              </w:tabs>
              <w:autoSpaceDE w:val="0"/>
              <w:autoSpaceDN w:val="0"/>
              <w:adjustRightInd w:val="0"/>
              <w:ind w:left="1440"/>
              <w:rPr>
                <w:rFonts w:eastAsia="Times New Roman"/>
                <w:sz w:val="20"/>
                <w:szCs w:val="20"/>
              </w:rPr>
            </w:pPr>
            <w:r>
              <w:rPr>
                <w:rFonts w:eastAsia="Times New Roman"/>
                <w:sz w:val="20"/>
                <w:szCs w:val="20"/>
              </w:rPr>
              <w:t>Yes</w:t>
            </w:r>
          </w:p>
        </w:tc>
        <w:tc>
          <w:tcPr>
            <w:tcW w:w="1080"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24</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895"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40.0</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5" w:type="dxa"/>
          </w:tcPr>
          <w:p>
            <w:pPr>
              <w:pStyle w:val="24"/>
              <w:numPr>
                <w:ilvl w:val="0"/>
                <w:numId w:val="4"/>
              </w:numPr>
              <w:tabs>
                <w:tab w:val="left" w:pos="2610"/>
              </w:tabs>
              <w:autoSpaceDE w:val="0"/>
              <w:autoSpaceDN w:val="0"/>
              <w:adjustRightInd w:val="0"/>
              <w:rPr>
                <w:rFonts w:eastAsia="Times New Roman"/>
                <w:sz w:val="20"/>
                <w:szCs w:val="20"/>
              </w:rPr>
            </w:pPr>
            <w:r>
              <w:rPr>
                <w:rFonts w:eastAsia="Times New Roman"/>
                <w:sz w:val="20"/>
                <w:szCs w:val="20"/>
              </w:rPr>
              <w:t>Mr. P.M. today is his 1st POD following abdominal surgery. He is found lying curled in a fetal position, quietly in bed, and grimaces as he turns in bed. Is it precise to rate and score her as 8?</w:t>
            </w:r>
          </w:p>
          <w:p>
            <w:pPr>
              <w:pStyle w:val="24"/>
              <w:tabs>
                <w:tab w:val="left" w:pos="2610"/>
              </w:tabs>
              <w:autoSpaceDE w:val="0"/>
              <w:autoSpaceDN w:val="0"/>
              <w:adjustRightInd w:val="0"/>
              <w:ind w:left="1440"/>
              <w:rPr>
                <w:rFonts w:eastAsia="Times New Roman"/>
                <w:sz w:val="20"/>
                <w:szCs w:val="20"/>
              </w:rPr>
            </w:pPr>
            <w:r>
              <w:rPr>
                <w:rFonts w:eastAsia="Times New Roman"/>
                <w:sz w:val="20"/>
                <w:szCs w:val="20"/>
              </w:rPr>
              <w:t>No</w:t>
            </w:r>
          </w:p>
          <w:p>
            <w:pPr>
              <w:pStyle w:val="24"/>
              <w:tabs>
                <w:tab w:val="left" w:pos="2610"/>
              </w:tabs>
              <w:autoSpaceDE w:val="0"/>
              <w:autoSpaceDN w:val="0"/>
              <w:adjustRightInd w:val="0"/>
              <w:ind w:left="1440"/>
              <w:rPr>
                <w:rFonts w:eastAsia="Times New Roman"/>
                <w:sz w:val="20"/>
                <w:szCs w:val="20"/>
              </w:rPr>
            </w:pPr>
            <w:r>
              <w:rPr>
                <w:rFonts w:eastAsia="Times New Roman"/>
                <w:sz w:val="20"/>
                <w:szCs w:val="20"/>
              </w:rPr>
              <w:t>Yes</w:t>
            </w:r>
          </w:p>
        </w:tc>
        <w:tc>
          <w:tcPr>
            <w:tcW w:w="1080"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895"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15.0</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5" w:type="dxa"/>
          </w:tcPr>
          <w:p>
            <w:pPr>
              <w:pStyle w:val="24"/>
              <w:numPr>
                <w:ilvl w:val="0"/>
                <w:numId w:val="4"/>
              </w:numPr>
              <w:tabs>
                <w:tab w:val="left" w:pos="2610"/>
              </w:tabs>
              <w:rPr>
                <w:rFonts w:eastAsia="Times New Roman"/>
                <w:sz w:val="20"/>
                <w:szCs w:val="20"/>
              </w:rPr>
            </w:pPr>
            <w:r>
              <w:rPr>
                <w:rFonts w:eastAsia="Times New Roman"/>
                <w:sz w:val="20"/>
                <w:szCs w:val="20"/>
              </w:rPr>
              <w:t>If a patient sleeps with no movement postoperatively, this indicates that the patient is not in pain.</w:t>
            </w:r>
          </w:p>
          <w:p>
            <w:pPr>
              <w:tabs>
                <w:tab w:val="left" w:pos="2610"/>
              </w:tabs>
              <w:autoSpaceDE w:val="0"/>
              <w:autoSpaceDN w:val="0"/>
              <w:adjustRightInd w:val="0"/>
              <w:spacing w:after="0" w:line="240" w:lineRule="auto"/>
              <w:ind w:left="1440"/>
              <w:rPr>
                <w:rFonts w:ascii="Times New Roman" w:hAnsi="Times New Roman" w:eastAsia="Times New Roman" w:cs="Times New Roman"/>
                <w:sz w:val="20"/>
                <w:szCs w:val="20"/>
              </w:rPr>
            </w:pPr>
            <w:r>
              <w:rPr>
                <w:rFonts w:ascii="Times New Roman" w:hAnsi="Times New Roman" w:eastAsia="Times New Roman" w:cs="Times New Roman"/>
                <w:sz w:val="20"/>
                <w:szCs w:val="20"/>
              </w:rPr>
              <w:t>No</w:t>
            </w:r>
          </w:p>
          <w:p>
            <w:pPr>
              <w:tabs>
                <w:tab w:val="left" w:pos="2610"/>
              </w:tabs>
              <w:autoSpaceDE w:val="0"/>
              <w:autoSpaceDN w:val="0"/>
              <w:adjustRightInd w:val="0"/>
              <w:spacing w:after="0" w:line="240" w:lineRule="auto"/>
              <w:ind w:left="1440"/>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080"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24</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895"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40.0</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60.0</w:t>
            </w:r>
          </w:p>
        </w:tc>
      </w:tr>
      <w:bookmarkEnd w:id="171"/>
    </w:tbl>
    <w:p>
      <w:pPr>
        <w:tabs>
          <w:tab w:val="left" w:pos="2610"/>
        </w:tabs>
        <w:spacing w:line="480" w:lineRule="auto"/>
        <w:contextualSpacing/>
        <w:rPr>
          <w:rFonts w:ascii="Times New Roman" w:hAnsi="Times New Roman" w:cs="Times New Roman"/>
          <w:sz w:val="20"/>
          <w:szCs w:val="20"/>
        </w:rPr>
      </w:pPr>
    </w:p>
    <w:p>
      <w:pPr>
        <w:tabs>
          <w:tab w:val="left" w:pos="2610"/>
        </w:tabs>
        <w:spacing w:line="480" w:lineRule="auto"/>
        <w:contextualSpacing/>
        <w:jc w:val="both"/>
        <w:rPr>
          <w:rFonts w:ascii="Times New Roman" w:hAnsi="Times New Roman" w:cs="Times New Roman"/>
          <w:i/>
          <w:iCs/>
          <w:sz w:val="24"/>
          <w:szCs w:val="24"/>
        </w:rPr>
      </w:pPr>
      <w:r>
        <w:rPr>
          <w:rFonts w:ascii="Times New Roman" w:hAnsi="Times New Roman" w:cs="Times New Roman"/>
          <w:sz w:val="24"/>
          <w:szCs w:val="24"/>
        </w:rPr>
        <w:t xml:space="preserve">               Table 4 shows that majority of the respondents had low knowledge towards rating and scoring post-operative. For example, 60% of the respondents didn’t know that the pain level of seven is manageable. Also, more than fifty-eight percent of the respondents (58.3%) did not know that NRS six denoted severe pain. In addition, more than fifty-three percent of the respondents (53.3%) didn’t know that level “2” denoted some pain. Furthermore, 61.7% of the respondents didn’t know that </w:t>
      </w:r>
      <w:r>
        <w:rPr>
          <w:rFonts w:ascii="Times New Roman" w:hAnsi="Times New Roman" w:cs="Times New Roman"/>
          <w:sz w:val="24"/>
          <w:szCs w:val="24"/>
          <w:shd w:val="clear" w:color="auto" w:fill="FFFFFF"/>
        </w:rPr>
        <w:t>on a scale of 0-10, postoperative patients with 5/10 needed any analgesic.</w:t>
      </w:r>
      <w:r>
        <w:rPr>
          <w:rFonts w:ascii="Times New Roman" w:hAnsi="Times New Roman" w:cs="Times New Roman"/>
          <w:sz w:val="24"/>
          <w:szCs w:val="24"/>
        </w:rPr>
        <w:t xml:space="preserve"> However, some respondents had good knowledge towards rating and scoring post-operative pain. For resistance, more than ninety-three of the respondents (93.3%) knew that level “3 “represents mild pain. </w:t>
      </w:r>
    </w:p>
    <w:p>
      <w:pPr>
        <w:tabs>
          <w:tab w:val="left" w:pos="2610"/>
        </w:tabs>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             More than seventy-six percent of the respondent (76.7%) knew a patient who reported that” I think about my pain all the time and give up many activities because of pain” scored 8. Also, 60% of the respondents knew that it was right to Miss N.B.M.’s pain intensity was 5/10, having reported “My pain bothers me, but I can ignore it most of the time”. In addition, 85% of the respondents knew that Mr. P.M. on his 1st POD following abdominal surgery was found lying curled in a fetal position, quietly in bed, and grimacing as he turned in bed, it was precise to rate and score 8. On the contrary, a good number of respondents had low knowledge towards rating and scoring pain. For example, more than sixty-eight percent of the respondents (68.3%) didn’t know that it was not right to score Phillip’s pain intensity 10 as he was found smiling, talking, and joking with his visitor on his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postoperative </w:t>
      </w:r>
      <w:bookmarkStart w:id="172" w:name="_Hlk114316789"/>
      <w:r>
        <w:rPr>
          <w:rFonts w:ascii="Times New Roman" w:hAnsi="Times New Roman" w:cs="Times New Roman"/>
          <w:sz w:val="24"/>
          <w:szCs w:val="24"/>
        </w:rPr>
        <w:t>day. Following the integration of the pain assessment scale to nurses’ knowledge, the researcher continued to identify the nurse’s knowledge of the methods of postoperative pain management. The findings are presented in Table 5.</w:t>
      </w:r>
      <w:bookmarkEnd w:id="172"/>
      <w:r>
        <w:rPr>
          <w:rFonts w:ascii="Times New Roman" w:hAnsi="Times New Roman" w:cs="Times New Roman"/>
          <w:sz w:val="24"/>
          <w:szCs w:val="24"/>
        </w:rPr>
        <w:t xml:space="preserve">  </w:t>
      </w:r>
    </w:p>
    <w:p>
      <w:pPr>
        <w:pStyle w:val="3"/>
        <w:spacing w:line="480" w:lineRule="auto"/>
        <w:rPr>
          <w:rFonts w:ascii="Times New Roman" w:hAnsi="Times New Roman" w:cs="Times New Roman"/>
          <w:b w:val="0"/>
          <w:bCs/>
          <w:color w:val="auto"/>
          <w:sz w:val="24"/>
          <w:szCs w:val="24"/>
        </w:rPr>
      </w:pPr>
      <w:bookmarkStart w:id="173" w:name="_Toc120852249"/>
    </w:p>
    <w:p>
      <w:pPr>
        <w:pStyle w:val="3"/>
        <w:spacing w:line="480" w:lineRule="auto"/>
        <w:rPr>
          <w:rFonts w:ascii="Times New Roman" w:hAnsi="Times New Roman" w:cs="Times New Roman"/>
          <w:color w:val="auto"/>
          <w:sz w:val="24"/>
          <w:szCs w:val="24"/>
        </w:rPr>
      </w:pPr>
    </w:p>
    <w:p>
      <w:pPr>
        <w:pStyle w:val="3"/>
        <w:spacing w:line="480" w:lineRule="auto"/>
        <w:rPr>
          <w:rFonts w:ascii="Times New Roman" w:hAnsi="Times New Roman" w:cs="Times New Roman"/>
          <w:color w:val="auto"/>
          <w:sz w:val="24"/>
          <w:szCs w:val="24"/>
        </w:rPr>
      </w:pPr>
    </w:p>
    <w:p>
      <w:pPr>
        <w:pStyle w:val="3"/>
        <w:spacing w:line="480" w:lineRule="auto"/>
        <w:rPr>
          <w:rFonts w:ascii="Times New Roman" w:hAnsi="Times New Roman" w:cs="Times New Roman"/>
          <w:color w:val="auto"/>
          <w:sz w:val="24"/>
          <w:szCs w:val="24"/>
        </w:rPr>
      </w:pPr>
    </w:p>
    <w:p>
      <w:pPr>
        <w:pStyle w:val="3"/>
        <w:spacing w:line="480" w:lineRule="auto"/>
        <w:rPr>
          <w:rFonts w:ascii="Times New Roman" w:hAnsi="Times New Roman" w:cs="Times New Roman"/>
          <w:color w:val="auto"/>
          <w:sz w:val="24"/>
          <w:szCs w:val="24"/>
        </w:rPr>
      </w:pPr>
    </w:p>
    <w:p>
      <w:pPr>
        <w:rPr>
          <w:rFonts w:ascii="Times New Roman" w:hAnsi="Times New Roman" w:cs="Times New Roman"/>
          <w:sz w:val="24"/>
          <w:szCs w:val="24"/>
        </w:rPr>
      </w:pPr>
    </w:p>
    <w:p>
      <w:pPr>
        <w:pStyle w:val="9"/>
        <w:keepNext/>
        <w:rPr>
          <w:rFonts w:ascii="Times New Roman" w:hAnsi="Times New Roman" w:cs="Times New Roman"/>
          <w:sz w:val="24"/>
          <w:szCs w:val="24"/>
        </w:rPr>
      </w:pPr>
      <w:bookmarkStart w:id="174" w:name="_Toc134608197"/>
      <w:bookmarkStart w:id="175" w:name="_Toc134604179"/>
      <w:r>
        <w:rPr>
          <w:rFonts w:ascii="Times New Roman" w:hAnsi="Times New Roman" w:cs="Times New Roman"/>
          <w:sz w:val="24"/>
          <w:szCs w:val="24"/>
        </w:rPr>
        <w:t>Table 5 Postoperative pain assessment.</w:t>
      </w:r>
      <w:bookmarkEnd w:id="174"/>
    </w:p>
    <w:bookmarkEnd w:id="173"/>
    <w:bookmarkEnd w:id="175"/>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0"/>
        <w:gridCol w:w="787"/>
        <w:gridCol w:w="456"/>
        <w:gridCol w:w="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0" w:type="dxa"/>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Variable</w:t>
            </w:r>
          </w:p>
        </w:tc>
        <w:tc>
          <w:tcPr>
            <w:tcW w:w="1243" w:type="dxa"/>
            <w:gridSpan w:val="2"/>
          </w:tcPr>
          <w:p>
            <w:pPr>
              <w:tabs>
                <w:tab w:val="left" w:pos="2610"/>
              </w:tabs>
              <w:autoSpaceDE w:val="0"/>
              <w:autoSpaceDN w:val="0"/>
              <w:adjustRightInd w:val="0"/>
              <w:spacing w:after="0" w:line="240" w:lineRule="auto"/>
              <w:jc w:val="center"/>
              <w:rPr>
                <w:rFonts w:ascii="Times New Roman" w:hAnsi="Times New Roman" w:eastAsia="Times New Roman" w:cs="Times New Roman"/>
                <w:i/>
                <w:iCs/>
                <w:sz w:val="20"/>
                <w:szCs w:val="20"/>
              </w:rPr>
            </w:pPr>
            <w:r>
              <w:rPr>
                <w:rFonts w:ascii="Times New Roman" w:hAnsi="Times New Roman" w:eastAsia="Times New Roman" w:cs="Times New Roman"/>
                <w:i/>
                <w:iCs/>
                <w:sz w:val="20"/>
                <w:szCs w:val="20"/>
              </w:rPr>
              <w:t>f</w:t>
            </w:r>
          </w:p>
        </w:tc>
        <w:tc>
          <w:tcPr>
            <w:tcW w:w="887"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7" w:type="dxa"/>
            <w:gridSpan w:val="2"/>
          </w:tcPr>
          <w:p>
            <w:pPr>
              <w:pStyle w:val="24"/>
              <w:numPr>
                <w:ilvl w:val="0"/>
                <w:numId w:val="5"/>
              </w:numPr>
              <w:tabs>
                <w:tab w:val="left" w:pos="2610"/>
              </w:tabs>
              <w:rPr>
                <w:sz w:val="20"/>
                <w:szCs w:val="20"/>
              </w:rPr>
            </w:pPr>
            <w:r>
              <w:rPr>
                <w:sz w:val="20"/>
                <w:szCs w:val="20"/>
              </w:rPr>
              <w:t>Typically, patients who can be distracted from their suffering do not experience severe pain.</w:t>
            </w:r>
          </w:p>
          <w:p>
            <w:pPr>
              <w:pStyle w:val="24"/>
              <w:tabs>
                <w:tab w:val="left" w:pos="2610"/>
              </w:tabs>
              <w:ind w:left="1440"/>
              <w:rPr>
                <w:sz w:val="20"/>
                <w:szCs w:val="20"/>
              </w:rPr>
            </w:pPr>
            <w:r>
              <w:rPr>
                <w:sz w:val="20"/>
                <w:szCs w:val="20"/>
              </w:rPr>
              <w:t>No</w:t>
            </w:r>
          </w:p>
          <w:p>
            <w:pPr>
              <w:pStyle w:val="24"/>
              <w:tabs>
                <w:tab w:val="left" w:pos="2610"/>
              </w:tabs>
              <w:ind w:left="1440"/>
              <w:rPr>
                <w:sz w:val="20"/>
                <w:szCs w:val="20"/>
              </w:rPr>
            </w:pPr>
            <w:r>
              <w:rPr>
                <w:sz w:val="20"/>
                <w:szCs w:val="20"/>
              </w:rPr>
              <w:t>Yes</w:t>
            </w:r>
          </w:p>
        </w:tc>
        <w:tc>
          <w:tcPr>
            <w:tcW w:w="456"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20</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40</w:t>
            </w:r>
          </w:p>
        </w:tc>
        <w:tc>
          <w:tcPr>
            <w:tcW w:w="887"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33.3</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7" w:type="dxa"/>
            <w:gridSpan w:val="2"/>
          </w:tcPr>
          <w:p>
            <w:pPr>
              <w:pStyle w:val="24"/>
              <w:numPr>
                <w:ilvl w:val="0"/>
                <w:numId w:val="5"/>
              </w:numPr>
              <w:tabs>
                <w:tab w:val="left" w:pos="2610"/>
              </w:tabs>
              <w:rPr>
                <w:sz w:val="20"/>
                <w:szCs w:val="20"/>
              </w:rPr>
            </w:pPr>
            <w:r>
              <w:rPr>
                <w:sz w:val="20"/>
                <w:szCs w:val="20"/>
              </w:rPr>
              <w:t>Following administration of a first dose of an opioid analgesic, the following doses should be modified based on each patient's response.</w:t>
            </w:r>
          </w:p>
          <w:p>
            <w:pPr>
              <w:pStyle w:val="24"/>
              <w:tabs>
                <w:tab w:val="left" w:pos="2610"/>
              </w:tabs>
              <w:ind w:left="1440"/>
              <w:rPr>
                <w:sz w:val="20"/>
                <w:szCs w:val="20"/>
              </w:rPr>
            </w:pPr>
            <w:r>
              <w:rPr>
                <w:sz w:val="20"/>
                <w:szCs w:val="20"/>
              </w:rPr>
              <w:t>No</w:t>
            </w:r>
          </w:p>
          <w:p>
            <w:pPr>
              <w:pStyle w:val="24"/>
              <w:tabs>
                <w:tab w:val="left" w:pos="2610"/>
              </w:tabs>
              <w:ind w:left="1440"/>
              <w:rPr>
                <w:sz w:val="20"/>
                <w:szCs w:val="20"/>
              </w:rPr>
            </w:pPr>
            <w:r>
              <w:rPr>
                <w:sz w:val="20"/>
                <w:szCs w:val="20"/>
              </w:rPr>
              <w:t>Yes</w:t>
            </w:r>
          </w:p>
        </w:tc>
        <w:tc>
          <w:tcPr>
            <w:tcW w:w="456"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887"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13.3</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7" w:type="dxa"/>
            <w:gridSpan w:val="2"/>
          </w:tcPr>
          <w:p>
            <w:pPr>
              <w:pStyle w:val="24"/>
              <w:numPr>
                <w:ilvl w:val="0"/>
                <w:numId w:val="5"/>
              </w:numPr>
              <w:tabs>
                <w:tab w:val="left" w:pos="2610"/>
              </w:tabs>
              <w:rPr>
                <w:sz w:val="20"/>
                <w:szCs w:val="20"/>
              </w:rPr>
            </w:pPr>
            <w:r>
              <w:rPr>
                <w:sz w:val="20"/>
                <w:szCs w:val="20"/>
              </w:rPr>
              <w:t>For the treatment of mild to moderate pain, non-drug therapies like touch, heat, and music are particularly beneficial.</w:t>
            </w:r>
          </w:p>
          <w:p>
            <w:pPr>
              <w:pStyle w:val="24"/>
              <w:tabs>
                <w:tab w:val="left" w:pos="2610"/>
              </w:tabs>
              <w:ind w:left="1440"/>
              <w:rPr>
                <w:sz w:val="20"/>
                <w:szCs w:val="20"/>
              </w:rPr>
            </w:pPr>
            <w:r>
              <w:rPr>
                <w:sz w:val="20"/>
                <w:szCs w:val="20"/>
              </w:rPr>
              <w:t>No</w:t>
            </w:r>
          </w:p>
          <w:p>
            <w:pPr>
              <w:pStyle w:val="24"/>
              <w:tabs>
                <w:tab w:val="left" w:pos="2610"/>
              </w:tabs>
              <w:ind w:left="1440"/>
              <w:rPr>
                <w:sz w:val="20"/>
                <w:szCs w:val="20"/>
              </w:rPr>
            </w:pPr>
            <w:r>
              <w:rPr>
                <w:sz w:val="20"/>
                <w:szCs w:val="20"/>
              </w:rPr>
              <w:t>Yes</w:t>
            </w:r>
          </w:p>
        </w:tc>
        <w:tc>
          <w:tcPr>
            <w:tcW w:w="456"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14</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46</w:t>
            </w:r>
          </w:p>
        </w:tc>
        <w:tc>
          <w:tcPr>
            <w:tcW w:w="887"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23.3</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7" w:type="dxa"/>
            <w:gridSpan w:val="2"/>
          </w:tcPr>
          <w:p>
            <w:pPr>
              <w:pStyle w:val="24"/>
              <w:numPr>
                <w:ilvl w:val="0"/>
                <w:numId w:val="5"/>
              </w:numPr>
              <w:tabs>
                <w:tab w:val="left" w:pos="2610"/>
              </w:tabs>
              <w:rPr>
                <w:sz w:val="20"/>
                <w:szCs w:val="20"/>
              </w:rPr>
            </w:pPr>
            <w:r>
              <w:rPr>
                <w:sz w:val="20"/>
                <w:szCs w:val="20"/>
              </w:rPr>
              <w:t xml:space="preserve">Pain should be assessed before and after administering pain drugs. </w:t>
            </w:r>
          </w:p>
          <w:p>
            <w:pPr>
              <w:tabs>
                <w:tab w:val="left" w:pos="2610"/>
              </w:tabs>
              <w:autoSpaceDE w:val="0"/>
              <w:autoSpaceDN w:val="0"/>
              <w:adjustRightInd w:val="0"/>
              <w:spacing w:after="0" w:line="240" w:lineRule="auto"/>
              <w:ind w:left="1440"/>
              <w:rPr>
                <w:rFonts w:ascii="Times New Roman" w:hAnsi="Times New Roman" w:eastAsia="Times New Roman" w:cs="Times New Roman"/>
                <w:sz w:val="20"/>
                <w:szCs w:val="20"/>
              </w:rPr>
            </w:pPr>
            <w:r>
              <w:rPr>
                <w:rFonts w:ascii="Times New Roman" w:hAnsi="Times New Roman" w:eastAsia="Times New Roman" w:cs="Times New Roman"/>
                <w:sz w:val="20"/>
                <w:szCs w:val="20"/>
              </w:rPr>
              <w:t>No</w:t>
            </w:r>
          </w:p>
          <w:p>
            <w:pPr>
              <w:tabs>
                <w:tab w:val="left" w:pos="2610"/>
              </w:tabs>
              <w:autoSpaceDE w:val="0"/>
              <w:autoSpaceDN w:val="0"/>
              <w:adjustRightInd w:val="0"/>
              <w:spacing w:after="0" w:line="240" w:lineRule="auto"/>
              <w:ind w:left="1440"/>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Yes </w:t>
            </w:r>
          </w:p>
        </w:tc>
        <w:tc>
          <w:tcPr>
            <w:tcW w:w="456"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887"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1.7</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8007" w:type="dxa"/>
            <w:gridSpan w:val="2"/>
          </w:tcPr>
          <w:p>
            <w:pPr>
              <w:pStyle w:val="24"/>
              <w:numPr>
                <w:ilvl w:val="0"/>
                <w:numId w:val="5"/>
              </w:numPr>
              <w:tabs>
                <w:tab w:val="left" w:pos="2610"/>
              </w:tabs>
              <w:rPr>
                <w:sz w:val="20"/>
                <w:szCs w:val="20"/>
              </w:rPr>
            </w:pPr>
            <w:r>
              <w:rPr>
                <w:sz w:val="20"/>
                <w:szCs w:val="20"/>
              </w:rPr>
              <w:t>Vital signs are always reliable indicators of the intensity of a patient’s pain.</w:t>
            </w:r>
          </w:p>
          <w:p>
            <w:pPr>
              <w:tabs>
                <w:tab w:val="left" w:pos="2610"/>
              </w:tabs>
              <w:autoSpaceDE w:val="0"/>
              <w:autoSpaceDN w:val="0"/>
              <w:adjustRightInd w:val="0"/>
              <w:spacing w:after="0" w:line="240" w:lineRule="auto"/>
              <w:ind w:left="1440"/>
              <w:rPr>
                <w:rFonts w:ascii="Times New Roman" w:hAnsi="Times New Roman" w:eastAsia="Times New Roman" w:cs="Times New Roman"/>
                <w:sz w:val="20"/>
                <w:szCs w:val="20"/>
              </w:rPr>
            </w:pPr>
            <w:r>
              <w:rPr>
                <w:rFonts w:ascii="Times New Roman" w:hAnsi="Times New Roman" w:eastAsia="Times New Roman" w:cs="Times New Roman"/>
                <w:sz w:val="20"/>
                <w:szCs w:val="20"/>
              </w:rPr>
              <w:t>No</w:t>
            </w:r>
          </w:p>
          <w:p>
            <w:pPr>
              <w:tabs>
                <w:tab w:val="left" w:pos="2610"/>
              </w:tabs>
              <w:autoSpaceDE w:val="0"/>
              <w:autoSpaceDN w:val="0"/>
              <w:adjustRightInd w:val="0"/>
              <w:spacing w:after="0" w:line="240" w:lineRule="auto"/>
              <w:ind w:left="1440"/>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Yes </w:t>
            </w:r>
          </w:p>
        </w:tc>
        <w:tc>
          <w:tcPr>
            <w:tcW w:w="456" w:type="dxa"/>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887"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6.7</w:t>
            </w: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8007" w:type="dxa"/>
            <w:gridSpan w:val="2"/>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p>
            <w:pPr>
              <w:pStyle w:val="24"/>
              <w:numPr>
                <w:ilvl w:val="0"/>
                <w:numId w:val="5"/>
              </w:numPr>
              <w:tabs>
                <w:tab w:val="left" w:pos="2610"/>
              </w:tabs>
              <w:autoSpaceDE w:val="0"/>
              <w:autoSpaceDN w:val="0"/>
              <w:adjustRightInd w:val="0"/>
              <w:rPr>
                <w:sz w:val="20"/>
                <w:szCs w:val="20"/>
              </w:rPr>
            </w:pPr>
            <w:r>
              <w:rPr>
                <w:sz w:val="20"/>
                <w:szCs w:val="20"/>
              </w:rPr>
              <w:t xml:space="preserve">Physical assessment is part of pain management. </w:t>
            </w:r>
          </w:p>
          <w:p>
            <w:pPr>
              <w:tabs>
                <w:tab w:val="left" w:pos="2610"/>
              </w:tabs>
              <w:autoSpaceDE w:val="0"/>
              <w:autoSpaceDN w:val="0"/>
              <w:adjustRightInd w:val="0"/>
              <w:spacing w:after="0" w:line="240" w:lineRule="auto"/>
              <w:ind w:left="1440"/>
              <w:rPr>
                <w:rFonts w:ascii="Times New Roman" w:hAnsi="Times New Roman" w:eastAsia="Times New Roman" w:cs="Times New Roman"/>
                <w:sz w:val="20"/>
                <w:szCs w:val="20"/>
              </w:rPr>
            </w:pPr>
            <w:r>
              <w:rPr>
                <w:rFonts w:ascii="Times New Roman" w:hAnsi="Times New Roman" w:eastAsia="Times New Roman" w:cs="Times New Roman"/>
                <w:sz w:val="20"/>
                <w:szCs w:val="20"/>
              </w:rPr>
              <w:t>No</w:t>
            </w:r>
          </w:p>
          <w:p>
            <w:pPr>
              <w:tabs>
                <w:tab w:val="left" w:pos="2610"/>
              </w:tabs>
              <w:autoSpaceDE w:val="0"/>
              <w:autoSpaceDN w:val="0"/>
              <w:adjustRightInd w:val="0"/>
              <w:spacing w:after="0" w:line="240" w:lineRule="auto"/>
              <w:ind w:left="1440"/>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Yes </w:t>
            </w:r>
          </w:p>
        </w:tc>
        <w:tc>
          <w:tcPr>
            <w:tcW w:w="456" w:type="dxa"/>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887" w:type="dxa"/>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13.3</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8007" w:type="dxa"/>
            <w:gridSpan w:val="2"/>
          </w:tcPr>
          <w:p>
            <w:pPr>
              <w:pStyle w:val="24"/>
              <w:numPr>
                <w:ilvl w:val="0"/>
                <w:numId w:val="5"/>
              </w:numPr>
              <w:tabs>
                <w:tab w:val="left" w:pos="2610"/>
              </w:tabs>
              <w:rPr>
                <w:sz w:val="20"/>
                <w:szCs w:val="20"/>
              </w:rPr>
            </w:pPr>
            <w:r>
              <w:rPr>
                <w:sz w:val="20"/>
                <w:szCs w:val="20"/>
              </w:rPr>
              <w:t>The most accurate judge of the intensity of the patient’s pain is the primary nurse.</w:t>
            </w:r>
          </w:p>
          <w:p>
            <w:pPr>
              <w:tabs>
                <w:tab w:val="left" w:pos="2610"/>
              </w:tabs>
              <w:autoSpaceDE w:val="0"/>
              <w:autoSpaceDN w:val="0"/>
              <w:adjustRightInd w:val="0"/>
              <w:spacing w:after="0" w:line="240" w:lineRule="auto"/>
              <w:ind w:left="1440"/>
              <w:rPr>
                <w:rFonts w:ascii="Times New Roman" w:hAnsi="Times New Roman" w:eastAsia="Times New Roman" w:cs="Times New Roman"/>
                <w:sz w:val="20"/>
                <w:szCs w:val="20"/>
              </w:rPr>
            </w:pPr>
            <w:r>
              <w:rPr>
                <w:rFonts w:ascii="Times New Roman" w:hAnsi="Times New Roman" w:eastAsia="Times New Roman" w:cs="Times New Roman"/>
                <w:sz w:val="20"/>
                <w:szCs w:val="20"/>
              </w:rPr>
              <w:t>No</w:t>
            </w:r>
          </w:p>
          <w:p>
            <w:pPr>
              <w:tabs>
                <w:tab w:val="left" w:pos="2610"/>
              </w:tabs>
              <w:autoSpaceDE w:val="0"/>
              <w:autoSpaceDN w:val="0"/>
              <w:adjustRightInd w:val="0"/>
              <w:spacing w:after="0" w:line="240" w:lineRule="auto"/>
              <w:ind w:left="1440"/>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Yes </w:t>
            </w:r>
          </w:p>
        </w:tc>
        <w:tc>
          <w:tcPr>
            <w:tcW w:w="456" w:type="dxa"/>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21</w:t>
            </w:r>
          </w:p>
        </w:tc>
        <w:tc>
          <w:tcPr>
            <w:tcW w:w="887" w:type="dxa"/>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65.0</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7" w:type="dxa"/>
            <w:gridSpan w:val="2"/>
          </w:tcPr>
          <w:p>
            <w:pPr>
              <w:pStyle w:val="24"/>
              <w:numPr>
                <w:ilvl w:val="0"/>
                <w:numId w:val="5"/>
              </w:numPr>
              <w:tabs>
                <w:tab w:val="left" w:pos="2610"/>
              </w:tabs>
              <w:autoSpaceDE w:val="0"/>
              <w:autoSpaceDN w:val="0"/>
              <w:adjustRightInd w:val="0"/>
              <w:rPr>
                <w:sz w:val="20"/>
                <w:szCs w:val="20"/>
              </w:rPr>
            </w:pPr>
            <w:r>
              <w:rPr>
                <w:sz w:val="20"/>
                <w:szCs w:val="20"/>
              </w:rPr>
              <w:t xml:space="preserve">Is character, onset, location &amp; duration of pain important in pain assessment? </w:t>
            </w:r>
          </w:p>
          <w:p>
            <w:pPr>
              <w:tabs>
                <w:tab w:val="left" w:pos="2610"/>
              </w:tabs>
              <w:autoSpaceDE w:val="0"/>
              <w:autoSpaceDN w:val="0"/>
              <w:adjustRightInd w:val="0"/>
              <w:spacing w:after="0" w:line="240" w:lineRule="auto"/>
              <w:ind w:left="1440"/>
              <w:rPr>
                <w:rFonts w:ascii="Times New Roman" w:hAnsi="Times New Roman" w:eastAsia="Times New Roman" w:cs="Times New Roman"/>
                <w:sz w:val="20"/>
                <w:szCs w:val="20"/>
              </w:rPr>
            </w:pPr>
            <w:r>
              <w:rPr>
                <w:rFonts w:ascii="Times New Roman" w:hAnsi="Times New Roman" w:eastAsia="Times New Roman" w:cs="Times New Roman"/>
                <w:sz w:val="20"/>
                <w:szCs w:val="20"/>
              </w:rPr>
              <w:t>No</w:t>
            </w:r>
          </w:p>
          <w:p>
            <w:pPr>
              <w:tabs>
                <w:tab w:val="left" w:pos="2610"/>
              </w:tabs>
              <w:autoSpaceDE w:val="0"/>
              <w:autoSpaceDN w:val="0"/>
              <w:adjustRightInd w:val="0"/>
              <w:spacing w:after="0" w:line="240" w:lineRule="auto"/>
              <w:ind w:left="1440"/>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456" w:type="dxa"/>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887" w:type="dxa"/>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1.7</w:t>
            </w:r>
          </w:p>
          <w:p>
            <w:pPr>
              <w:keepNext/>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7" w:type="dxa"/>
            <w:gridSpan w:val="2"/>
          </w:tcPr>
          <w:p>
            <w:pPr>
              <w:pStyle w:val="24"/>
              <w:numPr>
                <w:ilvl w:val="0"/>
                <w:numId w:val="5"/>
              </w:numPr>
              <w:tabs>
                <w:tab w:val="left" w:pos="2610"/>
              </w:tabs>
              <w:rPr>
                <w:sz w:val="20"/>
                <w:szCs w:val="20"/>
              </w:rPr>
            </w:pPr>
            <w:r>
              <w:rPr>
                <w:sz w:val="20"/>
                <w:szCs w:val="20"/>
              </w:rPr>
              <w:t xml:space="preserve">Observation is part of the method used in surgical pain assessment. </w:t>
            </w:r>
          </w:p>
          <w:p>
            <w:pPr>
              <w:tabs>
                <w:tab w:val="left" w:pos="2610"/>
              </w:tabs>
              <w:autoSpaceDE w:val="0"/>
              <w:autoSpaceDN w:val="0"/>
              <w:adjustRightInd w:val="0"/>
              <w:spacing w:after="0" w:line="240" w:lineRule="auto"/>
              <w:ind w:left="1440"/>
              <w:rPr>
                <w:rFonts w:ascii="Times New Roman" w:hAnsi="Times New Roman" w:eastAsia="Times New Roman" w:cs="Times New Roman"/>
                <w:sz w:val="20"/>
                <w:szCs w:val="20"/>
              </w:rPr>
            </w:pPr>
            <w:r>
              <w:rPr>
                <w:rFonts w:ascii="Times New Roman" w:hAnsi="Times New Roman" w:eastAsia="Times New Roman" w:cs="Times New Roman"/>
                <w:sz w:val="20"/>
                <w:szCs w:val="20"/>
              </w:rPr>
              <w:t>No</w:t>
            </w:r>
          </w:p>
          <w:p>
            <w:pPr>
              <w:tabs>
                <w:tab w:val="left" w:pos="2610"/>
              </w:tabs>
              <w:autoSpaceDE w:val="0"/>
              <w:autoSpaceDN w:val="0"/>
              <w:adjustRightInd w:val="0"/>
              <w:spacing w:after="0" w:line="240" w:lineRule="auto"/>
              <w:ind w:left="1440"/>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456" w:type="dxa"/>
          </w:tcPr>
          <w:p>
            <w:pPr>
              <w:tabs>
                <w:tab w:val="left" w:pos="2610"/>
              </w:tabs>
              <w:spacing w:after="0" w:line="240" w:lineRule="auto"/>
              <w:rPr>
                <w:rFonts w:ascii="Times New Roman" w:hAnsi="Times New Roman" w:eastAsia="Times New Roman" w:cs="Times New Roman"/>
                <w:sz w:val="20"/>
                <w:szCs w:val="20"/>
              </w:rPr>
            </w:pPr>
          </w:p>
          <w:p>
            <w:pPr>
              <w:tabs>
                <w:tab w:val="left" w:pos="2610"/>
              </w:tabs>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12</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48</w:t>
            </w:r>
          </w:p>
        </w:tc>
        <w:tc>
          <w:tcPr>
            <w:tcW w:w="887" w:type="dxa"/>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20.0</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7" w:type="dxa"/>
            <w:gridSpan w:val="2"/>
          </w:tcPr>
          <w:p>
            <w:pPr>
              <w:pStyle w:val="24"/>
              <w:numPr>
                <w:ilvl w:val="0"/>
                <w:numId w:val="5"/>
              </w:numPr>
              <w:tabs>
                <w:tab w:val="left" w:pos="2610"/>
              </w:tabs>
              <w:rPr>
                <w:sz w:val="20"/>
                <w:szCs w:val="20"/>
              </w:rPr>
            </w:pPr>
            <w:r>
              <w:rPr>
                <w:sz w:val="20"/>
                <w:szCs w:val="20"/>
              </w:rPr>
              <w:t xml:space="preserve">Patients should be individually assessed to determine cultural influences in pain expression. </w:t>
            </w:r>
          </w:p>
          <w:p>
            <w:pPr>
              <w:tabs>
                <w:tab w:val="left" w:pos="2610"/>
              </w:tabs>
              <w:autoSpaceDE w:val="0"/>
              <w:autoSpaceDN w:val="0"/>
              <w:adjustRightInd w:val="0"/>
              <w:spacing w:after="0" w:line="240" w:lineRule="auto"/>
              <w:ind w:left="1440"/>
              <w:rPr>
                <w:rFonts w:ascii="Times New Roman" w:hAnsi="Times New Roman" w:eastAsia="Times New Roman" w:cs="Times New Roman"/>
                <w:sz w:val="20"/>
                <w:szCs w:val="20"/>
              </w:rPr>
            </w:pPr>
            <w:r>
              <w:rPr>
                <w:rFonts w:ascii="Times New Roman" w:hAnsi="Times New Roman" w:eastAsia="Times New Roman" w:cs="Times New Roman"/>
                <w:sz w:val="20"/>
                <w:szCs w:val="20"/>
              </w:rPr>
              <w:t>No</w:t>
            </w:r>
          </w:p>
          <w:p>
            <w:pPr>
              <w:tabs>
                <w:tab w:val="left" w:pos="2610"/>
              </w:tabs>
              <w:spacing w:after="0" w:line="240" w:lineRule="auto"/>
              <w:ind w:left="1440"/>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456" w:type="dxa"/>
          </w:tcPr>
          <w:p>
            <w:pPr>
              <w:tabs>
                <w:tab w:val="left" w:pos="2610"/>
              </w:tabs>
              <w:spacing w:after="0" w:line="240" w:lineRule="auto"/>
              <w:jc w:val="center"/>
              <w:rPr>
                <w:rFonts w:ascii="Times New Roman" w:hAnsi="Times New Roman" w:eastAsia="Times New Roman" w:cs="Times New Roman"/>
                <w:sz w:val="20"/>
                <w:szCs w:val="20"/>
              </w:rPr>
            </w:pPr>
          </w:p>
          <w:p>
            <w:pPr>
              <w:tabs>
                <w:tab w:val="left" w:pos="2610"/>
              </w:tabs>
              <w:spacing w:after="0" w:line="240" w:lineRule="auto"/>
              <w:jc w:val="center"/>
              <w:rPr>
                <w:rFonts w:ascii="Times New Roman" w:hAnsi="Times New Roman" w:eastAsia="Times New Roman" w:cs="Times New Roman"/>
                <w:sz w:val="20"/>
                <w:szCs w:val="20"/>
              </w:rPr>
            </w:pPr>
          </w:p>
          <w:p>
            <w:pPr>
              <w:tabs>
                <w:tab w:val="left" w:pos="2610"/>
              </w:tabs>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p>
            <w:pPr>
              <w:tabs>
                <w:tab w:val="left" w:pos="2610"/>
              </w:tabs>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887" w:type="dxa"/>
          </w:tcPr>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15.0</w:t>
            </w:r>
          </w:p>
          <w:p>
            <w:pPr>
              <w:tabs>
                <w:tab w:val="left" w:pos="2610"/>
              </w:tabs>
              <w:autoSpaceDE w:val="0"/>
              <w:autoSpaceDN w:val="0"/>
              <w:adjustRightInd w:val="0"/>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85.0</w:t>
            </w:r>
          </w:p>
        </w:tc>
      </w:tr>
    </w:tbl>
    <w:p>
      <w:pPr>
        <w:tabs>
          <w:tab w:val="left" w:pos="26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pPr>
        <w:tabs>
          <w:tab w:val="left" w:pos="26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Table 5 shows that most of the respondents had good knowledge of postoperative pain management. For example, more than eighty-six percent of the respondents (86.7%) knew that after administering the initial dose of an opioid, the subsequent doses are adjusted according to the level of the patient’s pain. Correspondingly, more than seventy-six percent of the respondents (76.7) knew that nondrug interventions are effective in the management of mild to moderate levels of post-operative pain. Likewise, more than sixty-six percent of the respondents (66.7%) knew that the distraction method works best for patients not having severe pain. In addition, more than ninety-eight percent of the respondents (98.7%) knew that pain should be assessed before and after drug administration. Similarly, more than ninety-three percent of the respondents (93.3%) knew that vital signs are reliable indicators of a patient’s pain intensity. Moreover, 87.7% knew that physical assessment is part of pain management. </w:t>
      </w:r>
    </w:p>
    <w:p>
      <w:pPr>
        <w:tabs>
          <w:tab w:val="left" w:pos="26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Additionally, more than ninety-eight percent of the respondents (98.3%) knew that character, onset, location &amp; duration of pain were important in pain assessment. Further, eighty percent of respondents (80%) knew that observations are part of surgical pain assessment. Besides, 85% of the respondents knew that culture impacts pain expression therefore patients should be assessed individually. However, a noticeable number of respondents had low knowledge of postoperative pain assessment. For instance, sixty percent (60%) of the respondents didn’t know that if a patient slept with no movement postoperatively, it indicated that the patient wasn’t in pain. Lastly, thirty-five percent of the respondents (35%) didn’t know that the patients were the most accurate judge of their pain.</w:t>
      </w:r>
    </w:p>
    <w:p>
      <w:pPr>
        <w:pStyle w:val="3"/>
        <w:jc w:val="both"/>
        <w:rPr>
          <w:rFonts w:ascii="Times New Roman" w:hAnsi="Times New Roman" w:cs="Times New Roman"/>
          <w:sz w:val="24"/>
          <w:szCs w:val="24"/>
        </w:rPr>
      </w:pPr>
      <w:bookmarkStart w:id="176" w:name="_Toc134604180"/>
      <w:bookmarkStart w:id="177" w:name="_Toc142753426"/>
      <w:bookmarkStart w:id="178" w:name="_Hlk117242806"/>
      <w:r>
        <w:rPr>
          <w:rFonts w:ascii="Times New Roman" w:hAnsi="Times New Roman" w:cs="Times New Roman"/>
          <w:sz w:val="24"/>
          <w:szCs w:val="24"/>
        </w:rPr>
        <w:t>Effect of Educational Intervention on Nurse’s Knowledge towards Post-operative Pain Management.</w:t>
      </w:r>
      <w:bookmarkEnd w:id="176"/>
      <w:bookmarkEnd w:id="177"/>
    </w:p>
    <w:p>
      <w:pPr>
        <w:tabs>
          <w:tab w:val="left" w:pos="2610"/>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researcher wanted to find out whether the educational intervention had any impact on the nurse’s knowledge towards post-operative pain management. The total knowledge scores for both the pretest and posttest are presented in the tables located in the appendix. </w:t>
      </w:r>
      <w:bookmarkStart w:id="179" w:name="_Hlk117337149"/>
      <w:r>
        <w:rPr>
          <w:rFonts w:ascii="Times New Roman" w:hAnsi="Times New Roman" w:cs="Times New Roman"/>
          <w:sz w:val="24"/>
          <w:szCs w:val="24"/>
        </w:rPr>
        <w:t xml:space="preserve">The total knowledge of the respondents was determined and categorized under two levels where below 79% denoted unacceptable knowledge and above 80% denoted acceptable knowledge respectively. The pretest and posttest findings of knowledge levels are presented in Table </w:t>
      </w:r>
      <w:bookmarkEnd w:id="179"/>
      <w:r>
        <w:rPr>
          <w:rFonts w:ascii="Times New Roman" w:hAnsi="Times New Roman" w:cs="Times New Roman"/>
          <w:sz w:val="24"/>
          <w:szCs w:val="24"/>
        </w:rPr>
        <w:t xml:space="preserve">6. </w:t>
      </w:r>
    </w:p>
    <w:bookmarkEnd w:id="178"/>
    <w:p>
      <w:pPr>
        <w:pStyle w:val="9"/>
        <w:keepNext/>
        <w:rPr>
          <w:rFonts w:ascii="Times New Roman" w:hAnsi="Times New Roman" w:cs="Times New Roman"/>
          <w:sz w:val="24"/>
          <w:szCs w:val="24"/>
        </w:rPr>
      </w:pPr>
      <w:bookmarkStart w:id="180" w:name="_Toc134608198"/>
      <w:bookmarkStart w:id="181" w:name="_Toc120852251"/>
      <w:bookmarkStart w:id="182" w:name="_Toc134604181"/>
    </w:p>
    <w:p/>
    <w:p>
      <w:pPr>
        <w:pStyle w:val="9"/>
        <w:keepNext/>
        <w:rPr>
          <w:rFonts w:ascii="Times New Roman" w:hAnsi="Times New Roman" w:cs="Times New Roman"/>
          <w:sz w:val="24"/>
          <w:szCs w:val="24"/>
        </w:rPr>
      </w:pPr>
      <w:r>
        <w:rPr>
          <w:rFonts w:ascii="Times New Roman" w:hAnsi="Times New Roman" w:cs="Times New Roman"/>
          <w:sz w:val="24"/>
          <w:szCs w:val="24"/>
        </w:rPr>
        <w:t xml:space="preserve">Table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Table \* ARABIC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t xml:space="preserve"> Comparison of pre and post knowledge</w:t>
      </w:r>
      <w:bookmarkEnd w:id="180"/>
    </w:p>
    <w:bookmarkEnd w:id="181"/>
    <w:bookmarkEnd w:id="182"/>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2735"/>
        <w:gridCol w:w="4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90" w:type="dxa"/>
          </w:tcPr>
          <w:p>
            <w:pPr>
              <w:tabs>
                <w:tab w:val="left" w:pos="2610"/>
              </w:tabs>
              <w:spacing w:after="0" w:line="240" w:lineRule="auto"/>
              <w:rPr>
                <w:rFonts w:ascii="Times New Roman" w:hAnsi="Times New Roman" w:cs="Times New Roman"/>
                <w:sz w:val="24"/>
                <w:szCs w:val="24"/>
              </w:rPr>
            </w:pPr>
          </w:p>
        </w:tc>
        <w:tc>
          <w:tcPr>
            <w:tcW w:w="7145" w:type="dxa"/>
            <w:gridSpan w:val="2"/>
          </w:tcPr>
          <w:p>
            <w:pPr>
              <w:tabs>
                <w:tab w:val="left" w:pos="261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Knowledge totals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90" w:type="dxa"/>
          </w:tcPr>
          <w:p>
            <w:pPr>
              <w:tabs>
                <w:tab w:val="left" w:pos="2610"/>
              </w:tabs>
              <w:spacing w:after="0" w:line="240" w:lineRule="auto"/>
              <w:rPr>
                <w:rFonts w:ascii="Times New Roman" w:hAnsi="Times New Roman" w:cs="Times New Roman"/>
                <w:sz w:val="24"/>
                <w:szCs w:val="24"/>
              </w:rPr>
            </w:pPr>
          </w:p>
        </w:tc>
        <w:tc>
          <w:tcPr>
            <w:tcW w:w="2735" w:type="dxa"/>
          </w:tcPr>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Pretest</w:t>
            </w:r>
          </w:p>
        </w:tc>
        <w:tc>
          <w:tcPr>
            <w:tcW w:w="4410" w:type="dxa"/>
          </w:tcPr>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Posttest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90" w:type="dxa"/>
          </w:tcPr>
          <w:p>
            <w:pPr>
              <w:tabs>
                <w:tab w:val="left" w:pos="26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Below 79%</w:t>
            </w:r>
          </w:p>
        </w:tc>
        <w:tc>
          <w:tcPr>
            <w:tcW w:w="2735" w:type="dxa"/>
          </w:tcPr>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96.7%</w:t>
            </w:r>
          </w:p>
        </w:tc>
        <w:tc>
          <w:tcPr>
            <w:tcW w:w="4410" w:type="dxa"/>
          </w:tcPr>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90" w:type="dxa"/>
          </w:tcPr>
          <w:p>
            <w:pPr>
              <w:tabs>
                <w:tab w:val="left" w:pos="26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Above 80%</w:t>
            </w:r>
          </w:p>
        </w:tc>
        <w:tc>
          <w:tcPr>
            <w:tcW w:w="2735" w:type="dxa"/>
          </w:tcPr>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4410" w:type="dxa"/>
          </w:tcPr>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46.7%</w:t>
            </w:r>
          </w:p>
        </w:tc>
      </w:tr>
    </w:tbl>
    <w:p>
      <w:pPr>
        <w:tabs>
          <w:tab w:val="left" w:pos="2610"/>
        </w:tabs>
        <w:spacing w:line="480" w:lineRule="auto"/>
        <w:ind w:firstLine="720"/>
        <w:jc w:val="both"/>
        <w:rPr>
          <w:rFonts w:ascii="Times New Roman" w:hAnsi="Times New Roman" w:cs="Times New Roman"/>
          <w:sz w:val="24"/>
          <w:szCs w:val="24"/>
        </w:rPr>
      </w:pPr>
    </w:p>
    <w:p>
      <w:pPr>
        <w:tabs>
          <w:tab w:val="left" w:pos="2610"/>
        </w:tabs>
        <w:spacing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Table 6 shows that majority of the respondents (96.7%) had a low level of knowledge about postoperative pain management before the intervention. However, there was a notable improvement in the level of knowledge following the intervention where the number from 3.3%(pretest) to 46.7%(posttest). The researcher further wanted to determine the effect of the intervention on the nurse’s knowledge of postoperative pain management. A paired t-test was conducted to compare the means of the pre and post-test knowledge to determine the significance. The findings are presented in Table 7. </w:t>
      </w:r>
    </w:p>
    <w:p>
      <w:pPr>
        <w:pStyle w:val="9"/>
        <w:keepNext/>
        <w:rPr>
          <w:rFonts w:ascii="Times New Roman" w:hAnsi="Times New Roman" w:cs="Times New Roman"/>
          <w:sz w:val="24"/>
          <w:szCs w:val="24"/>
        </w:rPr>
      </w:pPr>
      <w:bookmarkStart w:id="183" w:name="_Toc134608199"/>
      <w:bookmarkStart w:id="184" w:name="_Toc120852252"/>
      <w:bookmarkStart w:id="185" w:name="_Toc134604182"/>
      <w:bookmarkStart w:id="186" w:name="_Hlk116135724"/>
      <w:r>
        <w:rPr>
          <w:rFonts w:ascii="Times New Roman" w:hAnsi="Times New Roman" w:cs="Times New Roman"/>
          <w:sz w:val="24"/>
          <w:szCs w:val="24"/>
        </w:rPr>
        <w:t xml:space="preserve">Table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Table \* ARABIC </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t>:  Paired sample test</w:t>
      </w:r>
      <w:bookmarkEnd w:id="183"/>
    </w:p>
    <w:bookmarkEnd w:id="184"/>
    <w:bookmarkEnd w:id="185"/>
    <w:tbl>
      <w:tblPr>
        <w:tblStyle w:val="19"/>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1010"/>
        <w:gridCol w:w="1203"/>
        <w:gridCol w:w="891"/>
        <w:gridCol w:w="1324"/>
        <w:gridCol w:w="1074"/>
        <w:gridCol w:w="923"/>
        <w:gridCol w:w="540"/>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vMerge w:val="restart"/>
          </w:tcPr>
          <w:p>
            <w:pPr>
              <w:tabs>
                <w:tab w:val="left" w:pos="2610"/>
              </w:tabs>
              <w:spacing w:after="0" w:line="480" w:lineRule="auto"/>
              <w:rPr>
                <w:rFonts w:ascii="Times New Roman" w:hAnsi="Times New Roman" w:cs="Times New Roman"/>
                <w:sz w:val="24"/>
                <w:szCs w:val="24"/>
              </w:rPr>
            </w:pPr>
          </w:p>
        </w:tc>
        <w:tc>
          <w:tcPr>
            <w:tcW w:w="8495" w:type="dxa"/>
            <w:gridSpan w:val="8"/>
          </w:tcPr>
          <w:p>
            <w:pPr>
              <w:tabs>
                <w:tab w:val="left" w:pos="2610"/>
              </w:tabs>
              <w:spacing w:after="0" w:line="480" w:lineRule="auto"/>
              <w:rPr>
                <w:rFonts w:ascii="Times New Roman" w:hAnsi="Times New Roman" w:cs="Times New Roman"/>
                <w:sz w:val="24"/>
                <w:szCs w:val="24"/>
              </w:rPr>
            </w:pPr>
            <w:r>
              <w:rPr>
                <w:rFonts w:ascii="Times New Roman" w:hAnsi="Times New Roman" w:cs="Times New Roman"/>
                <w:sz w:val="24"/>
                <w:szCs w:val="24"/>
              </w:rPr>
              <w:t>Paired differences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vMerge w:val="continue"/>
          </w:tcPr>
          <w:p>
            <w:pPr>
              <w:tabs>
                <w:tab w:val="left" w:pos="2610"/>
              </w:tabs>
              <w:spacing w:after="0" w:line="480" w:lineRule="auto"/>
              <w:rPr>
                <w:rFonts w:ascii="Times New Roman" w:hAnsi="Times New Roman" w:cs="Times New Roman"/>
                <w:sz w:val="24"/>
                <w:szCs w:val="24"/>
              </w:rPr>
            </w:pPr>
          </w:p>
        </w:tc>
        <w:tc>
          <w:tcPr>
            <w:tcW w:w="1010" w:type="dxa"/>
          </w:tcPr>
          <w:p>
            <w:pPr>
              <w:tabs>
                <w:tab w:val="left" w:pos="261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Mean </w:t>
            </w:r>
          </w:p>
        </w:tc>
        <w:tc>
          <w:tcPr>
            <w:tcW w:w="1203" w:type="dxa"/>
          </w:tcPr>
          <w:p>
            <w:pPr>
              <w:tabs>
                <w:tab w:val="left" w:pos="2610"/>
              </w:tabs>
              <w:spacing w:after="0" w:line="480" w:lineRule="auto"/>
              <w:rPr>
                <w:rFonts w:ascii="Times New Roman" w:hAnsi="Times New Roman" w:cs="Times New Roman"/>
                <w:sz w:val="24"/>
                <w:szCs w:val="24"/>
              </w:rPr>
            </w:pPr>
            <w:r>
              <w:rPr>
                <w:rFonts w:ascii="Times New Roman" w:hAnsi="Times New Roman" w:cs="Times New Roman"/>
                <w:sz w:val="24"/>
                <w:szCs w:val="24"/>
              </w:rPr>
              <w:t>Std. Deviation</w:t>
            </w:r>
          </w:p>
        </w:tc>
        <w:tc>
          <w:tcPr>
            <w:tcW w:w="891" w:type="dxa"/>
          </w:tcPr>
          <w:p>
            <w:pPr>
              <w:tabs>
                <w:tab w:val="left" w:pos="2610"/>
              </w:tabs>
              <w:spacing w:after="0" w:line="480" w:lineRule="auto"/>
              <w:rPr>
                <w:rFonts w:ascii="Times New Roman" w:hAnsi="Times New Roman" w:cs="Times New Roman"/>
                <w:sz w:val="24"/>
                <w:szCs w:val="24"/>
              </w:rPr>
            </w:pPr>
            <w:r>
              <w:rPr>
                <w:rFonts w:ascii="Times New Roman" w:hAnsi="Times New Roman" w:cs="Times New Roman"/>
                <w:sz w:val="24"/>
                <w:szCs w:val="24"/>
              </w:rPr>
              <w:t>Std. Error Mean</w:t>
            </w:r>
          </w:p>
        </w:tc>
        <w:tc>
          <w:tcPr>
            <w:tcW w:w="2398" w:type="dxa"/>
            <w:gridSpan w:val="2"/>
          </w:tcPr>
          <w:p>
            <w:pPr>
              <w:tabs>
                <w:tab w:val="left" w:pos="261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95% confidence interval of the Difference </w:t>
            </w:r>
          </w:p>
        </w:tc>
        <w:tc>
          <w:tcPr>
            <w:tcW w:w="923" w:type="dxa"/>
          </w:tcPr>
          <w:p>
            <w:pPr>
              <w:tabs>
                <w:tab w:val="left" w:pos="2610"/>
              </w:tabs>
              <w:spacing w:after="0" w:line="480" w:lineRule="auto"/>
              <w:rPr>
                <w:rFonts w:ascii="Times New Roman" w:hAnsi="Times New Roman" w:cs="Times New Roman"/>
                <w:sz w:val="24"/>
                <w:szCs w:val="24"/>
              </w:rPr>
            </w:pPr>
            <w:r>
              <w:rPr>
                <w:rFonts w:ascii="Times New Roman" w:hAnsi="Times New Roman" w:cs="Times New Roman"/>
                <w:sz w:val="24"/>
                <w:szCs w:val="24"/>
              </w:rPr>
              <w:t>t</w:t>
            </w:r>
          </w:p>
        </w:tc>
        <w:tc>
          <w:tcPr>
            <w:tcW w:w="540" w:type="dxa"/>
          </w:tcPr>
          <w:p>
            <w:pPr>
              <w:tabs>
                <w:tab w:val="left" w:pos="2610"/>
              </w:tabs>
              <w:spacing w:after="0" w:line="480" w:lineRule="auto"/>
              <w:rPr>
                <w:rFonts w:ascii="Times New Roman" w:hAnsi="Times New Roman" w:cs="Times New Roman"/>
                <w:sz w:val="24"/>
                <w:szCs w:val="24"/>
              </w:rPr>
            </w:pPr>
            <w:r>
              <w:rPr>
                <w:rFonts w:ascii="Times New Roman" w:hAnsi="Times New Roman" w:cs="Times New Roman"/>
                <w:sz w:val="24"/>
                <w:szCs w:val="24"/>
              </w:rPr>
              <w:t>df</w:t>
            </w:r>
          </w:p>
        </w:tc>
        <w:tc>
          <w:tcPr>
            <w:tcW w:w="1530" w:type="dxa"/>
          </w:tcPr>
          <w:p>
            <w:pPr>
              <w:tabs>
                <w:tab w:val="left" w:pos="2610"/>
              </w:tabs>
              <w:spacing w:after="0" w:line="480" w:lineRule="auto"/>
              <w:rPr>
                <w:rFonts w:ascii="Times New Roman" w:hAnsi="Times New Roman" w:cs="Times New Roman"/>
                <w:sz w:val="24"/>
                <w:szCs w:val="24"/>
              </w:rPr>
            </w:pPr>
            <w:r>
              <w:rPr>
                <w:rFonts w:ascii="Times New Roman" w:hAnsi="Times New Roman" w:cs="Times New Roman"/>
                <w:sz w:val="24"/>
                <w:szCs w:val="24"/>
              </w:rPr>
              <w:t>Sig.(2-tailed)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vMerge w:val="restart"/>
          </w:tcPr>
          <w:p>
            <w:pPr>
              <w:tabs>
                <w:tab w:val="left" w:pos="2610"/>
              </w:tabs>
              <w:spacing w:after="0" w:line="480" w:lineRule="auto"/>
              <w:rPr>
                <w:rFonts w:ascii="Times New Roman" w:hAnsi="Times New Roman" w:cs="Times New Roman"/>
                <w:sz w:val="24"/>
                <w:szCs w:val="24"/>
              </w:rPr>
            </w:pPr>
            <w:r>
              <w:rPr>
                <w:rFonts w:ascii="Times New Roman" w:hAnsi="Times New Roman" w:cs="Times New Roman"/>
                <w:sz w:val="24"/>
                <w:szCs w:val="24"/>
              </w:rPr>
              <w:t>Pair 1</w:t>
            </w:r>
          </w:p>
          <w:p>
            <w:pPr>
              <w:tabs>
                <w:tab w:val="left" w:pos="2610"/>
              </w:tabs>
              <w:spacing w:after="0" w:line="480" w:lineRule="auto"/>
              <w:rPr>
                <w:rFonts w:ascii="Times New Roman" w:hAnsi="Times New Roman" w:cs="Times New Roman"/>
                <w:sz w:val="24"/>
                <w:szCs w:val="24"/>
              </w:rPr>
            </w:pPr>
            <w:r>
              <w:rPr>
                <w:rFonts w:ascii="Times New Roman" w:hAnsi="Times New Roman" w:cs="Times New Roman"/>
                <w:sz w:val="24"/>
                <w:szCs w:val="24"/>
              </w:rPr>
              <w:t>Pretest &amp; post-test knowledge</w:t>
            </w:r>
          </w:p>
        </w:tc>
        <w:tc>
          <w:tcPr>
            <w:tcW w:w="1010" w:type="dxa"/>
            <w:vMerge w:val="restart"/>
          </w:tcPr>
          <w:p>
            <w:pPr>
              <w:tabs>
                <w:tab w:val="left" w:pos="2610"/>
              </w:tabs>
              <w:spacing w:after="0" w:line="480" w:lineRule="auto"/>
              <w:rPr>
                <w:rFonts w:ascii="Times New Roman" w:hAnsi="Times New Roman" w:cs="Times New Roman"/>
                <w:sz w:val="24"/>
                <w:szCs w:val="24"/>
              </w:rPr>
            </w:pPr>
            <w:bookmarkStart w:id="187" w:name="_Hlk127345259"/>
            <w:r>
              <w:rPr>
                <w:rFonts w:ascii="Times New Roman" w:hAnsi="Times New Roman" w:cs="Times New Roman"/>
                <w:sz w:val="24"/>
                <w:szCs w:val="24"/>
              </w:rPr>
              <w:t>-11.333</w:t>
            </w:r>
            <w:bookmarkEnd w:id="187"/>
          </w:p>
        </w:tc>
        <w:tc>
          <w:tcPr>
            <w:tcW w:w="1203" w:type="dxa"/>
            <w:vMerge w:val="restart"/>
          </w:tcPr>
          <w:p>
            <w:pPr>
              <w:tabs>
                <w:tab w:val="left" w:pos="2610"/>
              </w:tabs>
              <w:spacing w:after="0" w:line="480" w:lineRule="auto"/>
              <w:rPr>
                <w:rFonts w:ascii="Times New Roman" w:hAnsi="Times New Roman" w:cs="Times New Roman"/>
                <w:sz w:val="24"/>
                <w:szCs w:val="24"/>
              </w:rPr>
            </w:pPr>
            <w:r>
              <w:rPr>
                <w:rFonts w:ascii="Times New Roman" w:hAnsi="Times New Roman" w:cs="Times New Roman"/>
                <w:sz w:val="24"/>
                <w:szCs w:val="24"/>
              </w:rPr>
              <w:t>14.982</w:t>
            </w:r>
          </w:p>
        </w:tc>
        <w:tc>
          <w:tcPr>
            <w:tcW w:w="891" w:type="dxa"/>
            <w:vMerge w:val="restart"/>
          </w:tcPr>
          <w:p>
            <w:pPr>
              <w:tabs>
                <w:tab w:val="left" w:pos="2610"/>
              </w:tabs>
              <w:spacing w:after="0" w:line="480" w:lineRule="auto"/>
              <w:rPr>
                <w:rFonts w:ascii="Times New Roman" w:hAnsi="Times New Roman" w:cs="Times New Roman"/>
                <w:sz w:val="24"/>
                <w:szCs w:val="24"/>
              </w:rPr>
            </w:pPr>
            <w:r>
              <w:rPr>
                <w:rFonts w:ascii="Times New Roman" w:hAnsi="Times New Roman" w:cs="Times New Roman"/>
                <w:sz w:val="24"/>
                <w:szCs w:val="24"/>
              </w:rPr>
              <w:t>1.934</w:t>
            </w:r>
          </w:p>
        </w:tc>
        <w:tc>
          <w:tcPr>
            <w:tcW w:w="1324" w:type="dxa"/>
          </w:tcPr>
          <w:p>
            <w:pPr>
              <w:tabs>
                <w:tab w:val="left" w:pos="2610"/>
              </w:tabs>
              <w:spacing w:after="0" w:line="480" w:lineRule="auto"/>
              <w:rPr>
                <w:rFonts w:ascii="Times New Roman" w:hAnsi="Times New Roman" w:cs="Times New Roman"/>
                <w:sz w:val="24"/>
                <w:szCs w:val="24"/>
              </w:rPr>
            </w:pPr>
            <w:r>
              <w:rPr>
                <w:rFonts w:ascii="Times New Roman" w:hAnsi="Times New Roman" w:cs="Times New Roman"/>
                <w:sz w:val="24"/>
                <w:szCs w:val="24"/>
              </w:rPr>
              <w:t>lower</w:t>
            </w:r>
          </w:p>
        </w:tc>
        <w:tc>
          <w:tcPr>
            <w:tcW w:w="1074" w:type="dxa"/>
          </w:tcPr>
          <w:p>
            <w:pPr>
              <w:tabs>
                <w:tab w:val="left" w:pos="2610"/>
              </w:tabs>
              <w:spacing w:after="0" w:line="480" w:lineRule="auto"/>
              <w:rPr>
                <w:rFonts w:ascii="Times New Roman" w:hAnsi="Times New Roman" w:cs="Times New Roman"/>
                <w:sz w:val="24"/>
                <w:szCs w:val="24"/>
              </w:rPr>
            </w:pPr>
            <w:r>
              <w:rPr>
                <w:rFonts w:ascii="Times New Roman" w:hAnsi="Times New Roman" w:cs="Times New Roman"/>
                <w:sz w:val="24"/>
                <w:szCs w:val="24"/>
              </w:rPr>
              <w:t>upper</w:t>
            </w:r>
          </w:p>
        </w:tc>
        <w:tc>
          <w:tcPr>
            <w:tcW w:w="923" w:type="dxa"/>
            <w:vMerge w:val="restart"/>
          </w:tcPr>
          <w:p>
            <w:pPr>
              <w:tabs>
                <w:tab w:val="left" w:pos="2610"/>
              </w:tabs>
              <w:spacing w:after="0" w:line="480" w:lineRule="auto"/>
              <w:rPr>
                <w:rFonts w:ascii="Times New Roman" w:hAnsi="Times New Roman" w:cs="Times New Roman"/>
                <w:sz w:val="24"/>
                <w:szCs w:val="24"/>
              </w:rPr>
            </w:pPr>
            <w:r>
              <w:rPr>
                <w:rFonts w:ascii="Times New Roman" w:hAnsi="Times New Roman" w:cs="Times New Roman"/>
                <w:sz w:val="24"/>
                <w:szCs w:val="24"/>
              </w:rPr>
              <w:t>-5.860</w:t>
            </w:r>
          </w:p>
        </w:tc>
        <w:tc>
          <w:tcPr>
            <w:tcW w:w="540" w:type="dxa"/>
            <w:vMerge w:val="restart"/>
          </w:tcPr>
          <w:p>
            <w:pPr>
              <w:tabs>
                <w:tab w:val="left" w:pos="2610"/>
              </w:tabs>
              <w:spacing w:after="0" w:line="480" w:lineRule="auto"/>
              <w:rPr>
                <w:rFonts w:ascii="Times New Roman" w:hAnsi="Times New Roman" w:cs="Times New Roman"/>
                <w:sz w:val="24"/>
                <w:szCs w:val="24"/>
              </w:rPr>
            </w:pPr>
            <w:r>
              <w:rPr>
                <w:rFonts w:ascii="Times New Roman" w:hAnsi="Times New Roman" w:cs="Times New Roman"/>
                <w:sz w:val="24"/>
                <w:szCs w:val="24"/>
              </w:rPr>
              <w:t>59</w:t>
            </w:r>
          </w:p>
        </w:tc>
        <w:tc>
          <w:tcPr>
            <w:tcW w:w="1530" w:type="dxa"/>
            <w:vMerge w:val="restart"/>
          </w:tcPr>
          <w:p>
            <w:pPr>
              <w:tabs>
                <w:tab w:val="left" w:pos="2610"/>
              </w:tabs>
              <w:spacing w:after="0" w:line="480" w:lineRule="auto"/>
              <w:rPr>
                <w:rFonts w:ascii="Times New Roman" w:hAnsi="Times New Roman" w:cs="Times New Roman"/>
                <w:sz w:val="24"/>
                <w:szCs w:val="24"/>
              </w:rPr>
            </w:pPr>
            <w:r>
              <w:rPr>
                <w:rFonts w:ascii="Times New Roman" w:hAnsi="Times New Roman" w:cs="Times New Roman"/>
                <w:sz w:val="24"/>
                <w:szCs w:val="24"/>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vMerge w:val="continue"/>
          </w:tcPr>
          <w:p>
            <w:pPr>
              <w:tabs>
                <w:tab w:val="left" w:pos="2610"/>
              </w:tabs>
              <w:spacing w:after="0" w:line="480" w:lineRule="auto"/>
              <w:rPr>
                <w:rFonts w:ascii="Times New Roman" w:hAnsi="Times New Roman" w:cs="Times New Roman"/>
                <w:b/>
                <w:bCs/>
                <w:sz w:val="24"/>
                <w:szCs w:val="24"/>
              </w:rPr>
            </w:pPr>
          </w:p>
        </w:tc>
        <w:tc>
          <w:tcPr>
            <w:tcW w:w="1010" w:type="dxa"/>
            <w:vMerge w:val="continue"/>
          </w:tcPr>
          <w:p>
            <w:pPr>
              <w:tabs>
                <w:tab w:val="left" w:pos="2610"/>
              </w:tabs>
              <w:spacing w:after="0" w:line="480" w:lineRule="auto"/>
              <w:rPr>
                <w:rFonts w:ascii="Times New Roman" w:hAnsi="Times New Roman" w:cs="Times New Roman"/>
                <w:b/>
                <w:bCs/>
                <w:sz w:val="24"/>
                <w:szCs w:val="24"/>
              </w:rPr>
            </w:pPr>
          </w:p>
        </w:tc>
        <w:tc>
          <w:tcPr>
            <w:tcW w:w="1203" w:type="dxa"/>
            <w:vMerge w:val="continue"/>
          </w:tcPr>
          <w:p>
            <w:pPr>
              <w:tabs>
                <w:tab w:val="left" w:pos="2610"/>
              </w:tabs>
              <w:spacing w:after="0" w:line="480" w:lineRule="auto"/>
              <w:rPr>
                <w:rFonts w:ascii="Times New Roman" w:hAnsi="Times New Roman" w:cs="Times New Roman"/>
                <w:b/>
                <w:bCs/>
                <w:sz w:val="24"/>
                <w:szCs w:val="24"/>
              </w:rPr>
            </w:pPr>
          </w:p>
        </w:tc>
        <w:tc>
          <w:tcPr>
            <w:tcW w:w="891" w:type="dxa"/>
            <w:vMerge w:val="continue"/>
          </w:tcPr>
          <w:p>
            <w:pPr>
              <w:tabs>
                <w:tab w:val="left" w:pos="2610"/>
              </w:tabs>
              <w:spacing w:after="0" w:line="480" w:lineRule="auto"/>
              <w:rPr>
                <w:rFonts w:ascii="Times New Roman" w:hAnsi="Times New Roman" w:cs="Times New Roman"/>
                <w:b/>
                <w:bCs/>
                <w:sz w:val="24"/>
                <w:szCs w:val="24"/>
              </w:rPr>
            </w:pPr>
          </w:p>
        </w:tc>
        <w:tc>
          <w:tcPr>
            <w:tcW w:w="1324" w:type="dxa"/>
          </w:tcPr>
          <w:p>
            <w:pPr>
              <w:tabs>
                <w:tab w:val="left" w:pos="2610"/>
              </w:tabs>
              <w:spacing w:after="0" w:line="480" w:lineRule="auto"/>
              <w:rPr>
                <w:rFonts w:ascii="Times New Roman" w:hAnsi="Times New Roman" w:cs="Times New Roman"/>
                <w:sz w:val="24"/>
                <w:szCs w:val="24"/>
              </w:rPr>
            </w:pPr>
            <w:r>
              <w:rPr>
                <w:rFonts w:ascii="Times New Roman" w:hAnsi="Times New Roman" w:cs="Times New Roman"/>
                <w:sz w:val="24"/>
                <w:szCs w:val="24"/>
              </w:rPr>
              <w:t>-15.204</w:t>
            </w:r>
          </w:p>
        </w:tc>
        <w:tc>
          <w:tcPr>
            <w:tcW w:w="1074" w:type="dxa"/>
          </w:tcPr>
          <w:p>
            <w:pPr>
              <w:tabs>
                <w:tab w:val="left" w:pos="2610"/>
              </w:tabs>
              <w:spacing w:after="0" w:line="480" w:lineRule="auto"/>
              <w:rPr>
                <w:rFonts w:ascii="Times New Roman" w:hAnsi="Times New Roman" w:cs="Times New Roman"/>
                <w:sz w:val="24"/>
                <w:szCs w:val="24"/>
              </w:rPr>
            </w:pPr>
            <w:r>
              <w:rPr>
                <w:rFonts w:ascii="Times New Roman" w:hAnsi="Times New Roman" w:cs="Times New Roman"/>
                <w:sz w:val="24"/>
                <w:szCs w:val="24"/>
              </w:rPr>
              <w:t>-7.463</w:t>
            </w:r>
          </w:p>
        </w:tc>
        <w:tc>
          <w:tcPr>
            <w:tcW w:w="923" w:type="dxa"/>
            <w:vMerge w:val="continue"/>
          </w:tcPr>
          <w:p>
            <w:pPr>
              <w:tabs>
                <w:tab w:val="left" w:pos="2610"/>
              </w:tabs>
              <w:spacing w:after="0" w:line="480" w:lineRule="auto"/>
              <w:rPr>
                <w:rFonts w:ascii="Times New Roman" w:hAnsi="Times New Roman" w:cs="Times New Roman"/>
                <w:b/>
                <w:bCs/>
                <w:sz w:val="24"/>
                <w:szCs w:val="24"/>
              </w:rPr>
            </w:pPr>
          </w:p>
        </w:tc>
        <w:tc>
          <w:tcPr>
            <w:tcW w:w="540" w:type="dxa"/>
            <w:vMerge w:val="continue"/>
          </w:tcPr>
          <w:p>
            <w:pPr>
              <w:tabs>
                <w:tab w:val="left" w:pos="2610"/>
              </w:tabs>
              <w:spacing w:after="0" w:line="480" w:lineRule="auto"/>
              <w:rPr>
                <w:rFonts w:ascii="Times New Roman" w:hAnsi="Times New Roman" w:cs="Times New Roman"/>
                <w:b/>
                <w:bCs/>
                <w:sz w:val="24"/>
                <w:szCs w:val="24"/>
              </w:rPr>
            </w:pPr>
          </w:p>
        </w:tc>
        <w:tc>
          <w:tcPr>
            <w:tcW w:w="1530" w:type="dxa"/>
            <w:vMerge w:val="continue"/>
          </w:tcPr>
          <w:p>
            <w:pPr>
              <w:tabs>
                <w:tab w:val="left" w:pos="2610"/>
              </w:tabs>
              <w:spacing w:after="0" w:line="480" w:lineRule="auto"/>
              <w:rPr>
                <w:rFonts w:ascii="Times New Roman" w:hAnsi="Times New Roman" w:cs="Times New Roman"/>
                <w:b/>
                <w:bCs/>
                <w:sz w:val="24"/>
                <w:szCs w:val="24"/>
              </w:rPr>
            </w:pPr>
          </w:p>
        </w:tc>
      </w:tr>
    </w:tbl>
    <w:p>
      <w:pPr>
        <w:tabs>
          <w:tab w:val="left" w:pos="2610"/>
        </w:tabs>
        <w:spacing w:line="480" w:lineRule="auto"/>
        <w:ind w:firstLine="720"/>
        <w:rPr>
          <w:rFonts w:ascii="Times New Roman" w:hAnsi="Times New Roman" w:cs="Times New Roman"/>
          <w:b/>
          <w:bCs/>
          <w:sz w:val="24"/>
          <w:szCs w:val="24"/>
        </w:rPr>
      </w:pPr>
    </w:p>
    <w:p>
      <w:pPr>
        <w:tabs>
          <w:tab w:val="left" w:pos="2610"/>
        </w:tabs>
        <w:spacing w:line="480" w:lineRule="auto"/>
        <w:jc w:val="both"/>
        <w:rPr>
          <w:rFonts w:ascii="Times New Roman" w:hAnsi="Times New Roman" w:cs="Times New Roman"/>
          <w:sz w:val="24"/>
          <w:szCs w:val="24"/>
        </w:rPr>
      </w:pPr>
      <w:bookmarkStart w:id="188" w:name="_Hlk116120240"/>
      <w:r>
        <w:rPr>
          <w:rFonts w:ascii="Times New Roman" w:hAnsi="Times New Roman" w:cs="Times New Roman"/>
          <w:sz w:val="24"/>
          <w:szCs w:val="24"/>
        </w:rPr>
        <w:t xml:space="preserve">Table 7 shows that the education intervention had a positive effect on the nurse’s knowledge towards post-operative pain management </w:t>
      </w:r>
      <w:bookmarkStart w:id="189" w:name="_Hlk134549629"/>
      <w:r>
        <w:rPr>
          <w:rFonts w:ascii="Times New Roman" w:hAnsi="Times New Roman" w:cs="Times New Roman"/>
          <w:sz w:val="24"/>
          <w:szCs w:val="24"/>
        </w:rPr>
        <w:t xml:space="preserve">(M= -11.333, SD= 14.982). t =-5.860, dt= 59, p= 0.01.  </w:t>
      </w:r>
      <w:bookmarkEnd w:id="188"/>
      <w:bookmarkEnd w:id="189"/>
      <w:r>
        <w:rPr>
          <w:rFonts w:ascii="Times New Roman" w:hAnsi="Times New Roman" w:cs="Times New Roman"/>
          <w:sz w:val="24"/>
          <w:szCs w:val="24"/>
        </w:rPr>
        <w:t>The results suggested that the teaching intervention was statistically significant to the nurse’s knowledge of postoperative pain management.</w:t>
      </w:r>
      <w:bookmarkEnd w:id="186"/>
    </w:p>
    <w:p>
      <w:pPr>
        <w:keepNext/>
        <w:keepLines/>
        <w:spacing w:before="40" w:after="0" w:line="480" w:lineRule="auto"/>
        <w:outlineLvl w:val="1"/>
        <w:rPr>
          <w:rFonts w:ascii="Times New Roman" w:hAnsi="Times New Roman" w:cs="Times New Roman" w:eastAsiaTheme="majorEastAsia"/>
          <w:color w:val="000000" w:themeColor="text1"/>
          <w:sz w:val="24"/>
          <w:szCs w:val="24"/>
          <w14:textFill>
            <w14:solidFill>
              <w14:schemeClr w14:val="tx1"/>
            </w14:solidFill>
          </w14:textFill>
        </w:rPr>
      </w:pPr>
      <w:r>
        <w:rPr>
          <w:rFonts w:ascii="Times New Roman" w:hAnsi="Times New Roman" w:cs="Times New Roman" w:eastAsiaTheme="majorEastAsia"/>
          <w:b/>
          <w:color w:val="000000" w:themeColor="text1"/>
          <w:sz w:val="24"/>
          <w:szCs w:val="24"/>
          <w14:textFill>
            <w14:solidFill>
              <w14:schemeClr w14:val="tx1"/>
            </w14:solidFill>
          </w14:textFill>
        </w:rPr>
        <w:t>The Effect of Integrating the Pain Assessment Scale on the Nurse’s Attitude towards Post Operative Pain Management.</w:t>
      </w:r>
    </w:p>
    <w:p>
      <w:pPr>
        <w:pStyle w:val="9"/>
        <w:tabs>
          <w:tab w:val="left" w:pos="2610"/>
        </w:tabs>
        <w:spacing w:line="480" w:lineRule="auto"/>
        <w:ind w:firstLine="720"/>
        <w:jc w:val="both"/>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The researcher conducted a pretest on nurses’ attitudes towards postoperative pain management before educating the nurses on how to use the pain assessment scale in postoperative pain management. The respondents were asked about the different methods of postoperative pain management</w:t>
      </w:r>
      <w:r>
        <w:rPr>
          <w:rFonts w:ascii="Times New Roman" w:hAnsi="Times New Roman" w:cs="Times New Roman"/>
          <w:bCs/>
          <w:i w:val="0"/>
          <w:iCs w:val="0"/>
          <w:color w:val="auto"/>
          <w:sz w:val="24"/>
          <w:szCs w:val="24"/>
        </w:rPr>
        <w:t xml:space="preserve">.  The researcher used statements in which the respondent agreed or disagreed to reflect their attitude towards post-operative pain management by the use of a Likert scale. </w:t>
      </w:r>
      <w:bookmarkStart w:id="190" w:name="_Hlk117259045"/>
      <w:r>
        <w:rPr>
          <w:rFonts w:ascii="Times New Roman" w:hAnsi="Times New Roman" w:cs="Times New Roman"/>
          <w:bCs/>
          <w:i w:val="0"/>
          <w:iCs w:val="0"/>
          <w:color w:val="auto"/>
          <w:sz w:val="24"/>
          <w:szCs w:val="24"/>
        </w:rPr>
        <w:t xml:space="preserve">All the items were stated positively except statements </w:t>
      </w:r>
      <w:r>
        <w:rPr>
          <w:rFonts w:ascii="Times New Roman" w:hAnsi="Times New Roman" w:cs="Times New Roman"/>
          <w:i w:val="0"/>
          <w:iCs w:val="0"/>
          <w:color w:val="auto"/>
          <w:sz w:val="24"/>
          <w:szCs w:val="24"/>
        </w:rPr>
        <w:t>4 and 5 in Table 12. In these statements, a respondent who disagreed with them tended to reflect an acceptable attitude towards post-operative pain management</w:t>
      </w:r>
      <w:bookmarkEnd w:id="190"/>
      <w:r>
        <w:rPr>
          <w:rFonts w:ascii="Times New Roman" w:hAnsi="Times New Roman" w:cs="Times New Roman"/>
          <w:i w:val="0"/>
          <w:iCs w:val="0"/>
          <w:color w:val="auto"/>
          <w:sz w:val="24"/>
          <w:szCs w:val="24"/>
        </w:rPr>
        <w:t xml:space="preserve">.  The respondents who strongly disagreed, disagreed, agreed, and strongly agreed with these statements were scored (4, 3, 2, &amp; 1) respectively. The findings are presented in Table 8. </w:t>
      </w:r>
    </w:p>
    <w:p/>
    <w:p/>
    <w:p/>
    <w:p/>
    <w:p/>
    <w:p/>
    <w:p/>
    <w:p/>
    <w:p/>
    <w:p>
      <w:pPr>
        <w:pStyle w:val="9"/>
        <w:keepNext/>
        <w:rPr>
          <w:rFonts w:ascii="Times New Roman" w:hAnsi="Times New Roman" w:cs="Times New Roman"/>
          <w:sz w:val="24"/>
          <w:szCs w:val="24"/>
        </w:rPr>
      </w:pPr>
      <w:bookmarkStart w:id="191" w:name="_Toc134604184"/>
      <w:bookmarkStart w:id="192" w:name="_Toc120852254"/>
      <w:bookmarkStart w:id="193" w:name="_Toc134608200"/>
      <w:r>
        <w:rPr>
          <w:rFonts w:ascii="Times New Roman" w:hAnsi="Times New Roman" w:cs="Times New Roman"/>
          <w:sz w:val="24"/>
          <w:szCs w:val="24"/>
        </w:rPr>
        <w:t>Table 8 Pretest attitude toward post-operative pain management.</w:t>
      </w:r>
      <w:bookmarkEnd w:id="191"/>
      <w:bookmarkEnd w:id="192"/>
      <w:bookmarkEnd w:id="193"/>
    </w:p>
    <w:tbl>
      <w:tblPr>
        <w:tblStyle w:val="48"/>
        <w:tblW w:w="9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1"/>
        <w:gridCol w:w="811"/>
        <w:gridCol w:w="783"/>
        <w:gridCol w:w="705"/>
        <w:gridCol w:w="626"/>
        <w:gridCol w:w="1554"/>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041"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Variable </w:t>
            </w:r>
          </w:p>
        </w:tc>
        <w:tc>
          <w:tcPr>
            <w:tcW w:w="811"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SD</w:t>
            </w: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83"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w:t>
            </w: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05"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w:t>
            </w: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26"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SA</w:t>
            </w: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1554"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Mean </w:t>
            </w:r>
          </w:p>
        </w:tc>
        <w:tc>
          <w:tcPr>
            <w:tcW w:w="1195"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4041" w:type="dxa"/>
            <w:tcBorders>
              <w:top w:val="single" w:color="auto" w:sz="4" w:space="0"/>
              <w:left w:val="single" w:color="auto" w:sz="4" w:space="0"/>
              <w:bottom w:val="single" w:color="auto" w:sz="4" w:space="0"/>
              <w:right w:val="single" w:color="auto" w:sz="4" w:space="0"/>
            </w:tcBorders>
          </w:tcPr>
          <w:p>
            <w:pPr>
              <w:numPr>
                <w:ilvl w:val="0"/>
                <w:numId w:val="6"/>
              </w:numPr>
              <w:tabs>
                <w:tab w:val="left" w:pos="2610"/>
              </w:tabs>
              <w:spacing w:after="0" w:line="240" w:lineRule="auto"/>
              <w:contextualSpacing/>
              <w:rPr>
                <w:rFonts w:ascii="Times New Roman" w:hAnsi="Times New Roman" w:eastAsia="Times New Roman" w:cs="Times New Roman"/>
                <w:sz w:val="20"/>
                <w:szCs w:val="20"/>
              </w:rPr>
            </w:pPr>
            <w:r>
              <w:rPr>
                <w:rFonts w:ascii="Times New Roman" w:hAnsi="Times New Roman" w:eastAsia="Times New Roman" w:cs="Times New Roman"/>
                <w:sz w:val="20"/>
                <w:szCs w:val="20"/>
              </w:rPr>
              <w:t>I anticipate pain in all surgical procedures before I assess and treat pain in a patient.</w:t>
            </w:r>
          </w:p>
          <w:p>
            <w:pPr>
              <w:tabs>
                <w:tab w:val="left" w:pos="2610"/>
              </w:tabs>
              <w:autoSpaceDE w:val="0"/>
              <w:autoSpaceDN w:val="0"/>
              <w:adjustRightInd w:val="0"/>
              <w:spacing w:after="0" w:line="240" w:lineRule="auto"/>
              <w:rPr>
                <w:rFonts w:ascii="Times New Roman" w:hAnsi="Times New Roman" w:eastAsia="MS Mincho" w:cs="Times New Roman"/>
                <w:sz w:val="20"/>
                <w:szCs w:val="20"/>
                <w:lang w:eastAsia="ja-JP"/>
              </w:rPr>
            </w:pPr>
          </w:p>
        </w:tc>
        <w:tc>
          <w:tcPr>
            <w:tcW w:w="811"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13</w:t>
            </w:r>
          </w:p>
        </w:tc>
        <w:tc>
          <w:tcPr>
            <w:tcW w:w="783"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705"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24</w:t>
            </w:r>
          </w:p>
        </w:tc>
        <w:tc>
          <w:tcPr>
            <w:tcW w:w="626"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17</w:t>
            </w:r>
          </w:p>
        </w:tc>
        <w:tc>
          <w:tcPr>
            <w:tcW w:w="1554"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2.75 </w:t>
            </w:r>
          </w:p>
        </w:tc>
        <w:tc>
          <w:tcPr>
            <w:tcW w:w="1195"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4041" w:type="dxa"/>
            <w:tcBorders>
              <w:top w:val="single" w:color="auto" w:sz="4" w:space="0"/>
              <w:left w:val="single" w:color="auto" w:sz="4" w:space="0"/>
              <w:bottom w:val="single" w:color="auto" w:sz="4" w:space="0"/>
              <w:right w:val="single" w:color="auto" w:sz="4" w:space="0"/>
            </w:tcBorders>
          </w:tcPr>
          <w:tbl>
            <w:tblPr>
              <w:tblStyle w:val="7"/>
              <w:tblW w:w="3116" w:type="dxa"/>
              <w:tblInd w:w="0" w:type="dxa"/>
              <w:tblLayout w:type="fixed"/>
              <w:tblCellMar>
                <w:top w:w="0" w:type="dxa"/>
                <w:left w:w="108" w:type="dxa"/>
                <w:bottom w:w="0" w:type="dxa"/>
                <w:right w:w="108" w:type="dxa"/>
              </w:tblCellMar>
            </w:tblPr>
            <w:tblGrid>
              <w:gridCol w:w="3116"/>
            </w:tblGrid>
            <w:tr>
              <w:trPr>
                <w:trHeight w:val="36" w:hRule="atLeast"/>
              </w:trPr>
              <w:tc>
                <w:tcPr>
                  <w:tcW w:w="3116" w:type="dxa"/>
                </w:tcPr>
                <w:p>
                  <w:pPr>
                    <w:numPr>
                      <w:ilvl w:val="0"/>
                      <w:numId w:val="6"/>
                    </w:numPr>
                    <w:tabs>
                      <w:tab w:val="left" w:pos="2610"/>
                    </w:tabs>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If patient’s thoughts are distracted from pain, they usually do not suffer from severe pain </w:t>
                  </w:r>
                </w:p>
              </w:tc>
            </w:tr>
          </w:tbl>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tc>
        <w:tc>
          <w:tcPr>
            <w:tcW w:w="811"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14</w:t>
            </w:r>
          </w:p>
        </w:tc>
        <w:tc>
          <w:tcPr>
            <w:tcW w:w="783"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12</w:t>
            </w:r>
          </w:p>
        </w:tc>
        <w:tc>
          <w:tcPr>
            <w:tcW w:w="705"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21</w:t>
            </w:r>
          </w:p>
        </w:tc>
        <w:tc>
          <w:tcPr>
            <w:tcW w:w="626"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13</w:t>
            </w:r>
          </w:p>
        </w:tc>
        <w:tc>
          <w:tcPr>
            <w:tcW w:w="1554"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2.55 </w:t>
            </w:r>
          </w:p>
        </w:tc>
        <w:tc>
          <w:tcPr>
            <w:tcW w:w="1195"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4041"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tbl>
            <w:tblPr>
              <w:tblStyle w:val="7"/>
              <w:tblW w:w="3741" w:type="dxa"/>
              <w:tblInd w:w="0" w:type="dxa"/>
              <w:tblLayout w:type="fixed"/>
              <w:tblCellMar>
                <w:top w:w="0" w:type="dxa"/>
                <w:left w:w="108" w:type="dxa"/>
                <w:bottom w:w="0" w:type="dxa"/>
                <w:right w:w="108" w:type="dxa"/>
              </w:tblCellMar>
            </w:tblPr>
            <w:tblGrid>
              <w:gridCol w:w="3741"/>
            </w:tblGrid>
            <w:tr>
              <w:tblPrEx>
                <w:tblCellMar>
                  <w:top w:w="0" w:type="dxa"/>
                  <w:left w:w="108" w:type="dxa"/>
                  <w:bottom w:w="0" w:type="dxa"/>
                  <w:right w:w="108" w:type="dxa"/>
                </w:tblCellMar>
              </w:tblPrEx>
              <w:trPr>
                <w:trHeight w:val="648" w:hRule="atLeast"/>
              </w:trPr>
              <w:tc>
                <w:tcPr>
                  <w:tcW w:w="3741" w:type="dxa"/>
                </w:tcPr>
                <w:p>
                  <w:pPr>
                    <w:numPr>
                      <w:ilvl w:val="0"/>
                      <w:numId w:val="6"/>
                    </w:numPr>
                    <w:tabs>
                      <w:tab w:val="left" w:pos="2610"/>
                    </w:tabs>
                    <w:contextualSpacing/>
                    <w:rPr>
                      <w:rFonts w:ascii="Times New Roman" w:hAnsi="Times New Roman" w:cs="Times New Roman"/>
                      <w:sz w:val="20"/>
                      <w:szCs w:val="20"/>
                    </w:rPr>
                  </w:pPr>
                  <w:bookmarkStart w:id="194" w:name="_Hlk116123111"/>
                  <w:r>
                    <w:rPr>
                      <w:rFonts w:ascii="Times New Roman" w:hAnsi="Times New Roman" w:cs="Times New Roman"/>
                      <w:sz w:val="20"/>
                      <w:szCs w:val="20"/>
                    </w:rPr>
                    <w:t>Using pain measurement instruments is integral in post-operative pain management</w:t>
                  </w:r>
                  <w:bookmarkEnd w:id="194"/>
                </w:p>
              </w:tc>
            </w:tr>
          </w:tbl>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tc>
        <w:tc>
          <w:tcPr>
            <w:tcW w:w="811"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783"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11</w:t>
            </w:r>
          </w:p>
        </w:tc>
        <w:tc>
          <w:tcPr>
            <w:tcW w:w="705"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18</w:t>
            </w:r>
          </w:p>
        </w:tc>
        <w:tc>
          <w:tcPr>
            <w:tcW w:w="626"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24</w:t>
            </w:r>
          </w:p>
        </w:tc>
        <w:tc>
          <w:tcPr>
            <w:tcW w:w="1554"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2.98 </w:t>
            </w:r>
          </w:p>
        </w:tc>
        <w:tc>
          <w:tcPr>
            <w:tcW w:w="1195"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4041"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tbl>
            <w:tblPr>
              <w:tblStyle w:val="7"/>
              <w:tblW w:w="3846" w:type="dxa"/>
              <w:tblInd w:w="0" w:type="dxa"/>
              <w:tblLayout w:type="fixed"/>
              <w:tblCellMar>
                <w:top w:w="0" w:type="dxa"/>
                <w:left w:w="108" w:type="dxa"/>
                <w:bottom w:w="0" w:type="dxa"/>
                <w:right w:w="108" w:type="dxa"/>
              </w:tblCellMar>
            </w:tblPr>
            <w:tblGrid>
              <w:gridCol w:w="3846"/>
            </w:tblGrid>
            <w:tr>
              <w:trPr>
                <w:trHeight w:val="61" w:hRule="atLeast"/>
              </w:trPr>
              <w:tc>
                <w:tcPr>
                  <w:tcW w:w="3846" w:type="dxa"/>
                </w:tcPr>
                <w:p>
                  <w:pPr>
                    <w:tabs>
                      <w:tab w:val="left" w:pos="2610"/>
                    </w:tabs>
                    <w:autoSpaceDE w:val="0"/>
                    <w:autoSpaceDN w:val="0"/>
                    <w:adjustRightInd w:val="0"/>
                    <w:spacing w:after="0" w:line="240" w:lineRule="auto"/>
                    <w:rPr>
                      <w:rFonts w:ascii="Times New Roman" w:hAnsi="Times New Roman" w:cs="Times New Roman"/>
                      <w:sz w:val="20"/>
                      <w:szCs w:val="20"/>
                    </w:rPr>
                  </w:pPr>
                </w:p>
              </w:tc>
            </w:tr>
            <w:tr>
              <w:trPr>
                <w:trHeight w:val="61" w:hRule="atLeast"/>
              </w:trPr>
              <w:tc>
                <w:tcPr>
                  <w:tcW w:w="3846" w:type="dxa"/>
                </w:tcPr>
                <w:p>
                  <w:pPr>
                    <w:numPr>
                      <w:ilvl w:val="0"/>
                      <w:numId w:val="6"/>
                    </w:numPr>
                    <w:tabs>
                      <w:tab w:val="left" w:pos="2610"/>
                    </w:tabs>
                    <w:contextualSpacing/>
                    <w:rPr>
                      <w:rFonts w:ascii="Times New Roman" w:hAnsi="Times New Roman" w:cs="Times New Roman"/>
                      <w:sz w:val="20"/>
                      <w:szCs w:val="20"/>
                    </w:rPr>
                  </w:pPr>
                  <w:bookmarkStart w:id="195" w:name="_Hlk116123389"/>
                  <w:r>
                    <w:rPr>
                      <w:rFonts w:ascii="Times New Roman" w:hAnsi="Times New Roman" w:cs="Times New Roman"/>
                      <w:sz w:val="20"/>
                      <w:szCs w:val="20"/>
                    </w:rPr>
                    <w:t>Elderly patients are not able to cope with opioid analgesics for pain relief</w:t>
                  </w:r>
                  <w:bookmarkEnd w:id="195"/>
                </w:p>
              </w:tc>
            </w:tr>
          </w:tbl>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tc>
        <w:tc>
          <w:tcPr>
            <w:tcW w:w="811"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20</w:t>
            </w:r>
          </w:p>
        </w:tc>
        <w:tc>
          <w:tcPr>
            <w:tcW w:w="783"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26</w:t>
            </w:r>
          </w:p>
        </w:tc>
        <w:tc>
          <w:tcPr>
            <w:tcW w:w="705"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626"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554"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1.57 </w:t>
            </w:r>
          </w:p>
        </w:tc>
        <w:tc>
          <w:tcPr>
            <w:tcW w:w="1195"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4041" w:type="dxa"/>
            <w:tcBorders>
              <w:top w:val="single" w:color="auto" w:sz="4" w:space="0"/>
              <w:left w:val="single" w:color="auto" w:sz="4" w:space="0"/>
              <w:bottom w:val="single" w:color="auto" w:sz="4" w:space="0"/>
              <w:right w:val="single" w:color="auto" w:sz="4" w:space="0"/>
            </w:tcBorders>
          </w:tcPr>
          <w:p>
            <w:pPr>
              <w:numPr>
                <w:ilvl w:val="0"/>
                <w:numId w:val="6"/>
              </w:numPr>
              <w:tabs>
                <w:tab w:val="left" w:pos="2610"/>
              </w:tabs>
              <w:autoSpaceDE w:val="0"/>
              <w:autoSpaceDN w:val="0"/>
              <w:adjustRightInd w:val="0"/>
              <w:spacing w:after="0" w:line="240" w:lineRule="auto"/>
              <w:rPr>
                <w:rFonts w:ascii="Times New Roman" w:hAnsi="Times New Roman" w:eastAsia="Times New Roman" w:cs="Times New Roman"/>
                <w:sz w:val="20"/>
                <w:szCs w:val="20"/>
              </w:rPr>
            </w:pPr>
            <w:bookmarkStart w:id="196" w:name="_Hlk116123577"/>
            <w:r>
              <w:rPr>
                <w:rFonts w:ascii="Times New Roman" w:hAnsi="Times New Roman" w:eastAsia="Times New Roman" w:cs="Times New Roman"/>
                <w:sz w:val="20"/>
                <w:szCs w:val="20"/>
              </w:rPr>
              <w:t xml:space="preserve">Before using an opioid analgesic, I will encourage the patients to wait a while longer till the next dose.  </w:t>
            </w:r>
          </w:p>
          <w:bookmarkEnd w:id="196"/>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tc>
        <w:tc>
          <w:tcPr>
            <w:tcW w:w="811"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17</w:t>
            </w:r>
          </w:p>
        </w:tc>
        <w:tc>
          <w:tcPr>
            <w:tcW w:w="783"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23</w:t>
            </w:r>
          </w:p>
        </w:tc>
        <w:tc>
          <w:tcPr>
            <w:tcW w:w="705"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w:t>
            </w:r>
          </w:p>
        </w:tc>
        <w:tc>
          <w:tcPr>
            <w:tcW w:w="626"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w:t>
            </w:r>
          </w:p>
        </w:tc>
        <w:tc>
          <w:tcPr>
            <w:tcW w:w="1554"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1.55</w:t>
            </w: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tc>
        <w:tc>
          <w:tcPr>
            <w:tcW w:w="1195"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.050</w:t>
            </w:r>
          </w:p>
        </w:tc>
      </w:tr>
    </w:tbl>
    <w:p>
      <w:pPr>
        <w:tabs>
          <w:tab w:val="left" w:pos="2610"/>
        </w:tabs>
        <w:autoSpaceDE w:val="0"/>
        <w:autoSpaceDN w:val="0"/>
        <w:adjustRightInd w:val="0"/>
        <w:spacing w:after="0" w:line="480" w:lineRule="auto"/>
        <w:jc w:val="both"/>
        <w:rPr>
          <w:rFonts w:ascii="Times New Roman" w:hAnsi="Times New Roman" w:cs="Times New Roman"/>
          <w:sz w:val="24"/>
          <w:szCs w:val="24"/>
        </w:rPr>
      </w:pPr>
      <w:bookmarkStart w:id="197" w:name="_Hlk116134335"/>
      <w:r>
        <w:rPr>
          <w:rFonts w:ascii="Times New Roman" w:hAnsi="Times New Roman" w:cs="Times New Roman"/>
          <w:sz w:val="24"/>
          <w:szCs w:val="24"/>
        </w:rPr>
        <w:t xml:space="preserve">                </w:t>
      </w:r>
    </w:p>
    <w:p>
      <w:pPr>
        <w:tabs>
          <w:tab w:val="left" w:pos="261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Table 8 shows that majority of the respondents had an acceptable attitude toward post-operative pain management. For instance, the</w:t>
      </w:r>
      <w:r>
        <w:rPr>
          <w:rStyle w:val="46"/>
          <w:rFonts w:ascii="Times New Roman" w:hAnsi="Times New Roman" w:cs="Times New Roman"/>
          <w:sz w:val="24"/>
          <w:szCs w:val="24"/>
        </w:rPr>
        <w:t xml:space="preserve"> respondents agreed to the statement that pain should be anticipated in all surgical procedures before the assessment and treatment of POP (M=2.75, SD=1.099).  </w:t>
      </w:r>
      <w:r>
        <w:rPr>
          <w:rFonts w:ascii="Times New Roman" w:hAnsi="Times New Roman" w:cs="Times New Roman"/>
          <w:sz w:val="24"/>
          <w:szCs w:val="24"/>
        </w:rPr>
        <w:t>Also, the respondents agreed with the statement that patients’ thoughts distracted from pain usually do not suffer from severe pain (M=2.55, SD=1.080). Additionally, the respondents agreed that using pain measurement instruments was integral in postoperative pain management. Nevertheless, the majority of the respondents disagreed with the statement that using an opioid analgesic would encourage the patients to wait a while longer till the next dose (M=1.57, SD= .500). Also then, the majority of the respondents disagreed with the statement that elderly patients are not able to cope with opioid analgesics for pain relief (M=1.55, SD =.050).  The researcher determined the nurse’s attitude toward post-operative pain assessment before the educational intervention. Five out of the nine-question items were stated negatively</w:t>
      </w:r>
      <w:r>
        <w:rPr>
          <w:rFonts w:ascii="Times New Roman" w:hAnsi="Times New Roman" w:cs="Times New Roman"/>
          <w:bCs/>
          <w:sz w:val="24"/>
          <w:szCs w:val="24"/>
        </w:rPr>
        <w:t xml:space="preserve"> (2</w:t>
      </w:r>
      <w:r>
        <w:rPr>
          <w:rFonts w:ascii="Times New Roman" w:hAnsi="Times New Roman" w:cs="Times New Roman"/>
          <w:sz w:val="24"/>
          <w:szCs w:val="24"/>
        </w:rPr>
        <w:t>, 3, 5, 7 &amp; 8) in that the respondent who disagreed with the statement reflected an acceptable attitude towards post-operative pain management. Therefore, their total scores were reversed which portrayed the right scores for the given responses. The findings are presented in Table 9.</w:t>
      </w:r>
      <w:bookmarkEnd w:id="197"/>
    </w:p>
    <w:p>
      <w:pPr>
        <w:pStyle w:val="9"/>
        <w:keepNext/>
        <w:rPr>
          <w:rFonts w:ascii="Times New Roman" w:hAnsi="Times New Roman" w:cs="Times New Roman"/>
          <w:sz w:val="24"/>
          <w:szCs w:val="24"/>
        </w:rPr>
      </w:pPr>
      <w:bookmarkStart w:id="198" w:name="_Toc134608201"/>
      <w:bookmarkStart w:id="199" w:name="_Toc120852255"/>
      <w:bookmarkStart w:id="200" w:name="_Toc134604185"/>
      <w:r>
        <w:rPr>
          <w:rFonts w:ascii="Times New Roman" w:hAnsi="Times New Roman" w:cs="Times New Roman"/>
          <w:sz w:val="24"/>
          <w:szCs w:val="24"/>
        </w:rPr>
        <w:t>Table 9: Attitude pretest towards postoperative pain assessment.</w:t>
      </w:r>
      <w:bookmarkEnd w:id="198"/>
    </w:p>
    <w:bookmarkEnd w:id="199"/>
    <w:bookmarkEnd w:id="200"/>
    <w:tbl>
      <w:tblPr>
        <w:tblStyle w:val="47"/>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5"/>
        <w:gridCol w:w="630"/>
        <w:gridCol w:w="720"/>
        <w:gridCol w:w="630"/>
        <w:gridCol w:w="720"/>
        <w:gridCol w:w="99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405"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Variable </w:t>
            </w: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SD</w:t>
            </w: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w:t>
            </w: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w:t>
            </w: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SA</w:t>
            </w: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99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Mean</w:t>
            </w:r>
          </w:p>
        </w:tc>
        <w:tc>
          <w:tcPr>
            <w:tcW w:w="144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4405"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ind w:left="360"/>
              <w:rPr>
                <w:rFonts w:ascii="Times New Roman" w:hAnsi="Times New Roman" w:eastAsia="Times New Roman" w:cs="Times New Roman"/>
                <w:sz w:val="20"/>
                <w:szCs w:val="20"/>
              </w:rPr>
            </w:pPr>
          </w:p>
          <w:tbl>
            <w:tblPr>
              <w:tblStyle w:val="7"/>
              <w:tblW w:w="2681" w:type="dxa"/>
              <w:tblInd w:w="0" w:type="dxa"/>
              <w:tblLayout w:type="fixed"/>
              <w:tblCellMar>
                <w:top w:w="0" w:type="dxa"/>
                <w:left w:w="108" w:type="dxa"/>
                <w:bottom w:w="0" w:type="dxa"/>
                <w:right w:w="108" w:type="dxa"/>
              </w:tblCellMar>
            </w:tblPr>
            <w:tblGrid>
              <w:gridCol w:w="2681"/>
            </w:tblGrid>
            <w:tr>
              <w:tblPrEx>
                <w:tblCellMar>
                  <w:top w:w="0" w:type="dxa"/>
                  <w:left w:w="108" w:type="dxa"/>
                  <w:bottom w:w="0" w:type="dxa"/>
                  <w:right w:w="108" w:type="dxa"/>
                </w:tblCellMar>
              </w:tblPrEx>
              <w:trPr>
                <w:trHeight w:val="10" w:hRule="atLeast"/>
              </w:trPr>
              <w:tc>
                <w:tcPr>
                  <w:tcW w:w="2681" w:type="dxa"/>
                </w:tcPr>
                <w:p>
                  <w:pPr>
                    <w:pStyle w:val="24"/>
                    <w:numPr>
                      <w:ilvl w:val="0"/>
                      <w:numId w:val="7"/>
                    </w:numPr>
                    <w:tabs>
                      <w:tab w:val="left" w:pos="2610"/>
                    </w:tabs>
                    <w:rPr>
                      <w:sz w:val="20"/>
                      <w:szCs w:val="20"/>
                    </w:rPr>
                  </w:pPr>
                  <w:bookmarkStart w:id="201" w:name="_Hlk116124871"/>
                  <w:r>
                    <w:rPr>
                      <w:sz w:val="20"/>
                      <w:szCs w:val="20"/>
                    </w:rPr>
                    <w:t>I at all times agree with the patient’s self-report of pain</w:t>
                  </w:r>
                  <w:bookmarkEnd w:id="201"/>
                </w:p>
              </w:tc>
            </w:tr>
          </w:tbl>
          <w:p>
            <w:pPr>
              <w:tabs>
                <w:tab w:val="left" w:pos="2610"/>
              </w:tabs>
              <w:autoSpaceDE w:val="0"/>
              <w:autoSpaceDN w:val="0"/>
              <w:adjustRightInd w:val="0"/>
              <w:spacing w:after="0" w:line="240" w:lineRule="auto"/>
              <w:rPr>
                <w:rFonts w:ascii="Times New Roman" w:hAnsi="Times New Roman" w:eastAsia="MS Mincho" w:cs="Times New Roman"/>
                <w:sz w:val="20"/>
                <w:szCs w:val="20"/>
                <w:lang w:eastAsia="ja-JP"/>
              </w:rPr>
            </w:pP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13</w:t>
            </w:r>
          </w:p>
        </w:tc>
        <w:tc>
          <w:tcPr>
            <w:tcW w:w="99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2.82 </w:t>
            </w:r>
          </w:p>
        </w:tc>
        <w:tc>
          <w:tcPr>
            <w:tcW w:w="144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4"/>
                <w:szCs w:val="24"/>
              </w:rPr>
            </w:pPr>
          </w:p>
          <w:p>
            <w:pPr>
              <w:tabs>
                <w:tab w:val="left" w:pos="2610"/>
              </w:tabs>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405" w:type="dxa"/>
            <w:tcBorders>
              <w:top w:val="single" w:color="auto" w:sz="4" w:space="0"/>
              <w:left w:val="single" w:color="auto" w:sz="4" w:space="0"/>
              <w:bottom w:val="single" w:color="auto" w:sz="4" w:space="0"/>
              <w:right w:val="single" w:color="auto" w:sz="4" w:space="0"/>
            </w:tcBorders>
          </w:tcPr>
          <w:p>
            <w:pPr>
              <w:pStyle w:val="24"/>
              <w:numPr>
                <w:ilvl w:val="0"/>
                <w:numId w:val="7"/>
              </w:numPr>
              <w:tabs>
                <w:tab w:val="left" w:pos="2610"/>
              </w:tabs>
              <w:autoSpaceDE w:val="0"/>
              <w:autoSpaceDN w:val="0"/>
              <w:adjustRightInd w:val="0"/>
              <w:rPr>
                <w:sz w:val="20"/>
                <w:szCs w:val="20"/>
              </w:rPr>
            </w:pPr>
            <w:bookmarkStart w:id="202" w:name="_Hlk116125150"/>
            <w:r>
              <w:rPr>
                <w:rFonts w:eastAsia="Times New Roman"/>
                <w:sz w:val="20"/>
                <w:szCs w:val="20"/>
              </w:rPr>
              <w:t>Lack of expression in the postoperative patient means lack of pain</w:t>
            </w:r>
            <w:bookmarkEnd w:id="202"/>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14</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99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1.63 </w:t>
            </w:r>
          </w:p>
        </w:tc>
        <w:tc>
          <w:tcPr>
            <w:tcW w:w="144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4405" w:type="dxa"/>
            <w:tcBorders>
              <w:top w:val="single" w:color="auto" w:sz="4" w:space="0"/>
              <w:left w:val="single" w:color="auto" w:sz="4" w:space="0"/>
              <w:bottom w:val="single" w:color="auto" w:sz="4" w:space="0"/>
              <w:right w:val="single" w:color="auto" w:sz="4" w:space="0"/>
            </w:tcBorders>
          </w:tcPr>
          <w:tbl>
            <w:tblPr>
              <w:tblStyle w:val="7"/>
              <w:tblW w:w="3239" w:type="dxa"/>
              <w:tblInd w:w="0" w:type="dxa"/>
              <w:tblLayout w:type="fixed"/>
              <w:tblCellMar>
                <w:top w:w="0" w:type="dxa"/>
                <w:left w:w="108" w:type="dxa"/>
                <w:bottom w:w="0" w:type="dxa"/>
                <w:right w:w="108" w:type="dxa"/>
              </w:tblCellMar>
            </w:tblPr>
            <w:tblGrid>
              <w:gridCol w:w="3239"/>
            </w:tblGrid>
            <w:tr>
              <w:trPr>
                <w:trHeight w:val="288" w:hRule="atLeast"/>
              </w:trPr>
              <w:tc>
                <w:tcPr>
                  <w:tcW w:w="3239" w:type="dxa"/>
                </w:tcPr>
                <w:p>
                  <w:pPr>
                    <w:pStyle w:val="24"/>
                    <w:numPr>
                      <w:ilvl w:val="0"/>
                      <w:numId w:val="7"/>
                    </w:numPr>
                    <w:tabs>
                      <w:tab w:val="left" w:pos="2610"/>
                    </w:tabs>
                    <w:autoSpaceDE w:val="0"/>
                    <w:autoSpaceDN w:val="0"/>
                    <w:adjustRightInd w:val="0"/>
                    <w:ind w:right="60"/>
                    <w:rPr>
                      <w:sz w:val="20"/>
                      <w:szCs w:val="20"/>
                    </w:rPr>
                  </w:pPr>
                  <w:bookmarkStart w:id="203" w:name="_Hlk116125404"/>
                  <w:r>
                    <w:rPr>
                      <w:sz w:val="20"/>
                      <w:szCs w:val="20"/>
                    </w:rPr>
                    <w:t>Patients suffering from POP always complain to the primary nurse</w:t>
                  </w:r>
                  <w:bookmarkEnd w:id="203"/>
                </w:p>
              </w:tc>
            </w:tr>
          </w:tbl>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15</w:t>
            </w: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19</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17</w:t>
            </w:r>
          </w:p>
        </w:tc>
        <w:tc>
          <w:tcPr>
            <w:tcW w:w="99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1.45 </w:t>
            </w:r>
          </w:p>
        </w:tc>
        <w:tc>
          <w:tcPr>
            <w:tcW w:w="144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4405" w:type="dxa"/>
            <w:tcBorders>
              <w:top w:val="single" w:color="auto" w:sz="4" w:space="0"/>
              <w:left w:val="single" w:color="auto" w:sz="4" w:space="0"/>
              <w:bottom w:val="single" w:color="auto" w:sz="4" w:space="0"/>
              <w:right w:val="single" w:color="auto" w:sz="4" w:space="0"/>
            </w:tcBorders>
          </w:tcPr>
          <w:p>
            <w:pPr>
              <w:pStyle w:val="24"/>
              <w:numPr>
                <w:ilvl w:val="0"/>
                <w:numId w:val="7"/>
              </w:numPr>
              <w:tabs>
                <w:tab w:val="left" w:pos="2610"/>
              </w:tabs>
              <w:rPr>
                <w:sz w:val="20"/>
                <w:szCs w:val="20"/>
              </w:rPr>
            </w:pPr>
            <w:bookmarkStart w:id="204" w:name="_Hlk116125657"/>
            <w:r>
              <w:rPr>
                <w:rFonts w:eastAsia="Times New Roman"/>
                <w:sz w:val="20"/>
                <w:szCs w:val="20"/>
              </w:rPr>
              <w:t>Your visual assessment of the patient reporting pain influences your response and treatment of POP.</w:t>
            </w:r>
            <w:bookmarkEnd w:id="204"/>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15</w:t>
            </w: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19</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17</w:t>
            </w:r>
          </w:p>
        </w:tc>
        <w:tc>
          <w:tcPr>
            <w:tcW w:w="99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2.73 </w:t>
            </w:r>
          </w:p>
        </w:tc>
        <w:tc>
          <w:tcPr>
            <w:tcW w:w="144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405" w:type="dxa"/>
            <w:tcBorders>
              <w:top w:val="single" w:color="auto" w:sz="4" w:space="0"/>
              <w:left w:val="single" w:color="auto" w:sz="4" w:space="0"/>
              <w:bottom w:val="single" w:color="auto" w:sz="4" w:space="0"/>
              <w:right w:val="single" w:color="auto" w:sz="4" w:space="0"/>
            </w:tcBorders>
          </w:tcPr>
          <w:p>
            <w:pPr>
              <w:pStyle w:val="24"/>
              <w:numPr>
                <w:ilvl w:val="0"/>
                <w:numId w:val="7"/>
              </w:numPr>
              <w:tabs>
                <w:tab w:val="left" w:pos="2610"/>
              </w:tabs>
              <w:rPr>
                <w:sz w:val="20"/>
                <w:szCs w:val="20"/>
              </w:rPr>
            </w:pPr>
            <w:bookmarkStart w:id="205" w:name="_Hlk116126207"/>
            <w:r>
              <w:rPr>
                <w:rFonts w:eastAsia="Times New Roman"/>
                <w:sz w:val="20"/>
                <w:szCs w:val="20"/>
              </w:rPr>
              <w:t>Patients complaining of pain is not my priority when I am busy</w:t>
            </w:r>
            <w:bookmarkEnd w:id="205"/>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48</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w:t>
            </w: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9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1.20 </w:t>
            </w:r>
          </w:p>
        </w:tc>
        <w:tc>
          <w:tcPr>
            <w:tcW w:w="144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4405" w:type="dxa"/>
            <w:tcBorders>
              <w:top w:val="single" w:color="auto" w:sz="4" w:space="0"/>
              <w:left w:val="single" w:color="auto" w:sz="4" w:space="0"/>
              <w:bottom w:val="single" w:color="auto" w:sz="4" w:space="0"/>
              <w:right w:val="single" w:color="auto" w:sz="4" w:space="0"/>
            </w:tcBorders>
          </w:tcPr>
          <w:p>
            <w:pPr>
              <w:pStyle w:val="24"/>
              <w:numPr>
                <w:ilvl w:val="0"/>
                <w:numId w:val="7"/>
              </w:numPr>
              <w:tabs>
                <w:tab w:val="left" w:pos="2610"/>
              </w:tabs>
              <w:autoSpaceDE w:val="0"/>
              <w:autoSpaceDN w:val="0"/>
              <w:adjustRightInd w:val="0"/>
              <w:rPr>
                <w:sz w:val="20"/>
                <w:szCs w:val="20"/>
                <w:shd w:val="clear" w:color="auto" w:fill="FFFFFF"/>
              </w:rPr>
            </w:pPr>
            <w:bookmarkStart w:id="206" w:name="_Hlk116126438"/>
            <w:r>
              <w:rPr>
                <w:rFonts w:eastAsia="Times New Roman"/>
                <w:sz w:val="20"/>
                <w:szCs w:val="20"/>
                <w:shd w:val="clear" w:color="auto" w:fill="FFFFFF"/>
              </w:rPr>
              <w:t>The type of surgery done affects your response to pain management.</w:t>
            </w:r>
          </w:p>
          <w:bookmarkEnd w:id="206"/>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19</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w:t>
            </w: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15</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16</w:t>
            </w:r>
          </w:p>
        </w:tc>
        <w:tc>
          <w:tcPr>
            <w:tcW w:w="99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2.47 </w:t>
            </w:r>
          </w:p>
        </w:tc>
        <w:tc>
          <w:tcPr>
            <w:tcW w:w="144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4405" w:type="dxa"/>
            <w:tcBorders>
              <w:top w:val="single" w:color="auto" w:sz="4" w:space="0"/>
              <w:left w:val="single" w:color="auto" w:sz="4" w:space="0"/>
              <w:bottom w:val="single" w:color="auto" w:sz="4" w:space="0"/>
              <w:right w:val="single" w:color="auto" w:sz="4" w:space="0"/>
            </w:tcBorders>
          </w:tcPr>
          <w:p>
            <w:pPr>
              <w:pStyle w:val="24"/>
              <w:numPr>
                <w:ilvl w:val="0"/>
                <w:numId w:val="7"/>
              </w:numPr>
              <w:tabs>
                <w:tab w:val="left" w:pos="2610"/>
              </w:tabs>
              <w:autoSpaceDE w:val="0"/>
              <w:autoSpaceDN w:val="0"/>
              <w:adjustRightInd w:val="0"/>
              <w:ind w:right="60"/>
              <w:rPr>
                <w:rFonts w:eastAsia="Times New Roman"/>
                <w:sz w:val="20"/>
                <w:szCs w:val="20"/>
              </w:rPr>
            </w:pPr>
            <w:bookmarkStart w:id="207" w:name="_Hlk116126649"/>
            <w:r>
              <w:rPr>
                <w:rFonts w:eastAsia="Times New Roman"/>
                <w:sz w:val="20"/>
                <w:szCs w:val="20"/>
              </w:rPr>
              <w:t xml:space="preserve">Women exaggerate post-operative pain during assessment. </w:t>
            </w:r>
          </w:p>
          <w:bookmarkEnd w:id="207"/>
          <w:p>
            <w:pPr>
              <w:tabs>
                <w:tab w:val="left" w:pos="2610"/>
              </w:tabs>
              <w:autoSpaceDE w:val="0"/>
              <w:autoSpaceDN w:val="0"/>
              <w:adjustRightInd w:val="0"/>
              <w:spacing w:after="0" w:line="240" w:lineRule="auto"/>
              <w:ind w:left="450" w:right="60"/>
              <w:contextualSpacing/>
              <w:rPr>
                <w:rFonts w:ascii="Times New Roman" w:hAnsi="Times New Roman" w:eastAsia="Times New Roman" w:cs="Times New Roman"/>
                <w:sz w:val="20"/>
                <w:szCs w:val="20"/>
                <w:shd w:val="clear" w:color="auto" w:fill="FFFFFF"/>
              </w:rPr>
            </w:pP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24</w:t>
            </w: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21</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99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1.75 </w:t>
            </w:r>
          </w:p>
        </w:tc>
        <w:tc>
          <w:tcPr>
            <w:tcW w:w="144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4405" w:type="dxa"/>
            <w:tcBorders>
              <w:top w:val="single" w:color="auto" w:sz="4" w:space="0"/>
              <w:left w:val="single" w:color="auto" w:sz="4" w:space="0"/>
              <w:bottom w:val="single" w:color="auto" w:sz="4" w:space="0"/>
              <w:right w:val="single" w:color="auto" w:sz="4" w:space="0"/>
            </w:tcBorders>
          </w:tcPr>
          <w:p>
            <w:pPr>
              <w:pStyle w:val="24"/>
              <w:numPr>
                <w:ilvl w:val="0"/>
                <w:numId w:val="7"/>
              </w:numPr>
              <w:tabs>
                <w:tab w:val="left" w:pos="2610"/>
              </w:tabs>
              <w:autoSpaceDE w:val="0"/>
              <w:autoSpaceDN w:val="0"/>
              <w:adjustRightInd w:val="0"/>
              <w:spacing w:line="320" w:lineRule="atLeast"/>
              <w:ind w:right="60"/>
              <w:rPr>
                <w:rFonts w:eastAsia="Times New Roman"/>
                <w:sz w:val="20"/>
                <w:szCs w:val="20"/>
              </w:rPr>
            </w:pPr>
            <w:bookmarkStart w:id="208" w:name="_Hlk125615620"/>
            <w:r>
              <w:rPr>
                <w:rFonts w:eastAsia="Times New Roman"/>
                <w:sz w:val="20"/>
                <w:szCs w:val="20"/>
              </w:rPr>
              <w:t>Morphine is a very strong drug. Postoperative patients are not expected to fill pain when receiving it</w:t>
            </w:r>
            <w:bookmarkEnd w:id="208"/>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11</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w:t>
            </w:r>
          </w:p>
        </w:tc>
        <w:tc>
          <w:tcPr>
            <w:tcW w:w="99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1.70 </w:t>
            </w:r>
          </w:p>
        </w:tc>
        <w:tc>
          <w:tcPr>
            <w:tcW w:w="144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4405" w:type="dxa"/>
            <w:tcBorders>
              <w:top w:val="single" w:color="auto" w:sz="4" w:space="0"/>
              <w:left w:val="single" w:color="auto" w:sz="4" w:space="0"/>
              <w:bottom w:val="single" w:color="auto" w:sz="4" w:space="0"/>
              <w:right w:val="single" w:color="auto" w:sz="4" w:space="0"/>
            </w:tcBorders>
          </w:tcPr>
          <w:p>
            <w:pPr>
              <w:pStyle w:val="24"/>
              <w:numPr>
                <w:ilvl w:val="0"/>
                <w:numId w:val="7"/>
              </w:numPr>
              <w:tabs>
                <w:tab w:val="left" w:pos="2610"/>
              </w:tabs>
              <w:autoSpaceDE w:val="0"/>
              <w:autoSpaceDN w:val="0"/>
              <w:adjustRightInd w:val="0"/>
              <w:ind w:right="60"/>
              <w:rPr>
                <w:rFonts w:eastAsia="Times New Roman"/>
                <w:sz w:val="20"/>
                <w:szCs w:val="20"/>
              </w:rPr>
            </w:pPr>
            <w:bookmarkStart w:id="209" w:name="_Hlk125617467"/>
            <w:r>
              <w:rPr>
                <w:rFonts w:eastAsia="Times New Roman"/>
                <w:sz w:val="20"/>
                <w:szCs w:val="20"/>
              </w:rPr>
              <w:t>Nurses should rely exclusively on patients’ assessment to determine pain intensity</w:t>
            </w:r>
            <w:bookmarkEnd w:id="209"/>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15</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11</w:t>
            </w: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19</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15</w:t>
            </w:r>
          </w:p>
        </w:tc>
        <w:tc>
          <w:tcPr>
            <w:tcW w:w="990" w:type="dxa"/>
            <w:tcBorders>
              <w:top w:val="single" w:color="auto" w:sz="4" w:space="0"/>
              <w:left w:val="single" w:color="auto" w:sz="4" w:space="0"/>
              <w:bottom w:val="single" w:color="auto" w:sz="4" w:space="0"/>
              <w:right w:val="single" w:color="auto" w:sz="4" w:space="0"/>
            </w:tcBorders>
          </w:tcPr>
          <w:p>
            <w:pPr>
              <w:pStyle w:val="24"/>
              <w:numPr>
                <w:ilvl w:val="1"/>
                <w:numId w:val="8"/>
              </w:numPr>
              <w:tabs>
                <w:tab w:val="left" w:pos="2610"/>
              </w:tabs>
              <w:autoSpaceDE w:val="0"/>
              <w:autoSpaceDN w:val="0"/>
              <w:adjustRightInd w:val="0"/>
              <w:rPr>
                <w:sz w:val="20"/>
                <w:szCs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4405" w:type="dxa"/>
            <w:tcBorders>
              <w:top w:val="single" w:color="auto" w:sz="4" w:space="0"/>
              <w:left w:val="single" w:color="auto" w:sz="4" w:space="0"/>
              <w:bottom w:val="single" w:color="auto" w:sz="4" w:space="0"/>
              <w:right w:val="single" w:color="auto" w:sz="4" w:space="0"/>
            </w:tcBorders>
          </w:tcPr>
          <w:p>
            <w:pPr>
              <w:pStyle w:val="24"/>
              <w:numPr>
                <w:ilvl w:val="0"/>
                <w:numId w:val="7"/>
              </w:numPr>
              <w:tabs>
                <w:tab w:val="left" w:pos="2610"/>
              </w:tabs>
              <w:autoSpaceDE w:val="0"/>
              <w:autoSpaceDN w:val="0"/>
              <w:adjustRightInd w:val="0"/>
              <w:ind w:right="60"/>
              <w:rPr>
                <w:rFonts w:eastAsia="Times New Roman"/>
                <w:sz w:val="20"/>
                <w:szCs w:val="20"/>
              </w:rPr>
            </w:pPr>
            <w:r>
              <w:rPr>
                <w:rFonts w:eastAsia="Times New Roman"/>
                <w:sz w:val="20"/>
                <w:szCs w:val="20"/>
              </w:rPr>
              <w:t>The spiritual beliefs of a patient may determine how they respond to pain7</w:t>
            </w: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19</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29</w:t>
            </w:r>
          </w:p>
        </w:tc>
        <w:tc>
          <w:tcPr>
            <w:tcW w:w="99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rPr>
                <w:rFonts w:eastAsia="Times New Roman" w:cs="Times New Roman"/>
                <w:sz w:val="20"/>
                <w:szCs w:val="20"/>
              </w:rPr>
            </w:pPr>
            <w:r>
              <w:rPr>
                <w:rFonts w:eastAsia="Times New Roman" w:cs="Times New Roman"/>
                <w:sz w:val="20"/>
                <w:szCs w:val="20"/>
              </w:rPr>
              <w:t>3.17</w:t>
            </w:r>
          </w:p>
        </w:tc>
        <w:tc>
          <w:tcPr>
            <w:tcW w:w="144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1.011</w:t>
            </w:r>
          </w:p>
        </w:tc>
      </w:tr>
    </w:tbl>
    <w:p>
      <w:pPr>
        <w:tabs>
          <w:tab w:val="left" w:pos="2610"/>
        </w:tabs>
        <w:autoSpaceDE w:val="0"/>
        <w:autoSpaceDN w:val="0"/>
        <w:adjustRightInd w:val="0"/>
        <w:spacing w:line="480" w:lineRule="auto"/>
        <w:ind w:right="60" w:firstLine="720"/>
        <w:contextualSpacing/>
        <w:jc w:val="both"/>
        <w:rPr>
          <w:rFonts w:ascii="Times New Roman" w:hAnsi="Times New Roman" w:cs="Times New Roman"/>
          <w:sz w:val="24"/>
          <w:szCs w:val="24"/>
        </w:rPr>
      </w:pPr>
      <w:bookmarkStart w:id="210" w:name="_Hlk116129848"/>
    </w:p>
    <w:p>
      <w:pPr>
        <w:tabs>
          <w:tab w:val="left" w:pos="2610"/>
        </w:tabs>
        <w:autoSpaceDE w:val="0"/>
        <w:autoSpaceDN w:val="0"/>
        <w:adjustRightInd w:val="0"/>
        <w:spacing w:line="480" w:lineRule="auto"/>
        <w:ind w:right="6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Table 9 shows that the majority of the respondents had an acceptable attitude toward post-operative pain management. For example, the majority of the respondents agreed to the statement that at all times agreed with the patient’s self-report of pain (M= 2.82, SD= .965). Similarly, the majority of the respondents strongly disagreed with the statement that patients who complained of pain were not their priority when their busy (M= 1.20, SD=0.403). Additionally, the majority of the respondents disagreed with the statement that Morphine was a very strong drug where post-operative patients are not expected to fill pain when receiving it (M=1.70, SD=.462). As well, the respondents agreed with the statement that nurses should rely exclusively on patients’ assessment to determine pain intensity (M=2.73, SD= 1.039). Likewise, the respondents disagreed with the statement that a lack of expression in the postoperative patient meant a lack of pain (M=1.63, SD=.486). Furthermore, the respondents disagreed with the statement that the </w:t>
      </w:r>
      <w:r>
        <w:rPr>
          <w:rFonts w:ascii="Times New Roman" w:hAnsi="Times New Roman" w:cs="Times New Roman"/>
          <w:sz w:val="24"/>
          <w:szCs w:val="24"/>
          <w:shd w:val="clear" w:color="auto" w:fill="FFFFFF"/>
        </w:rPr>
        <w:t>type of surgery done affects the response to pain management</w:t>
      </w:r>
      <w:r>
        <w:rPr>
          <w:rFonts w:ascii="Times New Roman" w:hAnsi="Times New Roman" w:cs="Times New Roman"/>
          <w:sz w:val="24"/>
          <w:szCs w:val="24"/>
        </w:rPr>
        <w:t xml:space="preserve"> (M=2.47, SD= 1.200).</w:t>
      </w:r>
      <w:r>
        <w:rPr>
          <w:rFonts w:ascii="Times New Roman" w:hAnsi="Times New Roman" w:cs="Times New Roman"/>
          <w:sz w:val="24"/>
          <w:szCs w:val="24"/>
          <w:shd w:val="clear" w:color="auto" w:fill="FFFFFF"/>
        </w:rPr>
        <w:t xml:space="preserve"> </w:t>
      </w:r>
    </w:p>
    <w:p>
      <w:pPr>
        <w:tabs>
          <w:tab w:val="left" w:pos="2610"/>
        </w:tabs>
        <w:autoSpaceDE w:val="0"/>
        <w:autoSpaceDN w:val="0"/>
        <w:adjustRightInd w:val="0"/>
        <w:spacing w:line="480" w:lineRule="auto"/>
        <w:ind w:right="6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However, some respondents displayed an unaccepted attitude toward post-operative pain management. For example, the respondents agreed with the statement that the visual assessment of the patient reporting pain influences the response and treatment of POP (M= 2.73, SD= 1.039). Correspondingly, the respondents agreed with the statement that Women exaggerate post-operative pain during assessment (M=1.75, SD=.437).  The pretest attitude totals of the respondents were determined, presented in tables allocated in the appendix, and categorized under two levels (below 79% was an unacceptable attitude, and above 80% was an acceptable attitude) respectively. During the pre-attitude test for postoperative pain management, none of the respondents scored above 79%. </w:t>
      </w:r>
    </w:p>
    <w:bookmarkEnd w:id="210"/>
    <w:p>
      <w:pPr>
        <w:pStyle w:val="3"/>
        <w:spacing w:line="480" w:lineRule="auto"/>
        <w:rPr>
          <w:rFonts w:ascii="Times New Roman" w:hAnsi="Times New Roman" w:cs="Times New Roman"/>
          <w:b w:val="0"/>
          <w:sz w:val="24"/>
          <w:szCs w:val="24"/>
        </w:rPr>
      </w:pPr>
      <w:bookmarkStart w:id="211" w:name="_Toc142753428"/>
      <w:bookmarkStart w:id="212" w:name="_Hlk143198863"/>
      <w:r>
        <w:rPr>
          <w:rFonts w:ascii="Times New Roman" w:hAnsi="Times New Roman" w:cs="Times New Roman"/>
          <w:sz w:val="24"/>
          <w:szCs w:val="24"/>
        </w:rPr>
        <w:t>The Effect of Integrating the Pain Assessment Scale on the Nurse’s Attitude towards Post Operative Pain Management.</w:t>
      </w:r>
      <w:bookmarkEnd w:id="211"/>
    </w:p>
    <w:bookmarkEnd w:id="212"/>
    <w:p>
      <w:pPr>
        <w:tabs>
          <w:tab w:val="left" w:pos="2610"/>
        </w:tabs>
        <w:autoSpaceDE w:val="0"/>
        <w:autoSpaceDN w:val="0"/>
        <w:adjustRightInd w:val="0"/>
        <w:spacing w:line="480" w:lineRule="auto"/>
        <w:ind w:firstLine="720"/>
        <w:jc w:val="both"/>
        <w:rPr>
          <w:rFonts w:ascii="Times New Roman" w:hAnsi="Times New Roman" w:cs="Times New Roman"/>
          <w:bCs/>
          <w:sz w:val="24"/>
          <w:szCs w:val="24"/>
        </w:rPr>
      </w:pPr>
      <w:r>
        <w:rPr>
          <w:rFonts w:ascii="Times New Roman" w:hAnsi="Times New Roman" w:cs="Times New Roman"/>
          <w:sz w:val="24"/>
          <w:szCs w:val="24"/>
        </w:rPr>
        <w:t>After the application of the educational intervention of integrating the pain assessment scale to nurses’ attitudes, the researcher carried out a posttest to determine its effect on their attitude towards post-operative pain management. T</w:t>
      </w:r>
      <w:r>
        <w:rPr>
          <w:rFonts w:ascii="Times New Roman" w:hAnsi="Times New Roman" w:cs="Times New Roman"/>
          <w:bCs/>
          <w:sz w:val="24"/>
          <w:szCs w:val="24"/>
        </w:rPr>
        <w:t>he findings are presented in Table 10.</w:t>
      </w:r>
    </w:p>
    <w:p>
      <w:pPr>
        <w:pStyle w:val="9"/>
        <w:keepNext/>
        <w:rPr>
          <w:rFonts w:ascii="Times New Roman" w:hAnsi="Times New Roman" w:cs="Times New Roman"/>
          <w:sz w:val="24"/>
          <w:szCs w:val="24"/>
        </w:rPr>
      </w:pPr>
      <w:bookmarkStart w:id="213" w:name="_Toc134608202"/>
      <w:bookmarkStart w:id="214" w:name="_Toc134604186"/>
      <w:bookmarkStart w:id="215" w:name="_Toc120852258"/>
      <w:r>
        <w:rPr>
          <w:rFonts w:ascii="Times New Roman" w:hAnsi="Times New Roman" w:cs="Times New Roman"/>
          <w:sz w:val="24"/>
          <w:szCs w:val="24"/>
        </w:rPr>
        <w:t xml:space="preserve">Table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Table \* ARABIC </w:instrText>
      </w:r>
      <w:r>
        <w:rPr>
          <w:rFonts w:ascii="Times New Roman" w:hAnsi="Times New Roman" w:cs="Times New Roman"/>
          <w:sz w:val="24"/>
          <w:szCs w:val="24"/>
        </w:rP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t xml:space="preserve"> Posttest attitude towards post-operative pain management.</w:t>
      </w:r>
      <w:bookmarkEnd w:id="213"/>
    </w:p>
    <w:bookmarkEnd w:id="214"/>
    <w:bookmarkEnd w:id="215"/>
    <w:tbl>
      <w:tblPr>
        <w:tblStyle w:val="47"/>
        <w:tblW w:w="9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8"/>
        <w:gridCol w:w="720"/>
        <w:gridCol w:w="720"/>
        <w:gridCol w:w="630"/>
        <w:gridCol w:w="720"/>
        <w:gridCol w:w="990"/>
        <w:gridCol w:w="1092"/>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656" w:hRule="atLeast"/>
        </w:trPr>
        <w:tc>
          <w:tcPr>
            <w:tcW w:w="5058"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Variable </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SD</w:t>
            </w: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w:t>
            </w: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w:t>
            </w: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SA</w:t>
            </w: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99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Mean </w:t>
            </w: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tc>
        <w:tc>
          <w:tcPr>
            <w:tcW w:w="1092"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827" w:hRule="atLeast"/>
        </w:trPr>
        <w:tc>
          <w:tcPr>
            <w:tcW w:w="5058"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tbl>
            <w:tblPr>
              <w:tblStyle w:val="7"/>
              <w:tblW w:w="3960" w:type="dxa"/>
              <w:tblInd w:w="0" w:type="dxa"/>
              <w:tblLayout w:type="fixed"/>
              <w:tblCellMar>
                <w:top w:w="0" w:type="dxa"/>
                <w:left w:w="108" w:type="dxa"/>
                <w:bottom w:w="0" w:type="dxa"/>
                <w:right w:w="108" w:type="dxa"/>
              </w:tblCellMar>
            </w:tblPr>
            <w:tblGrid>
              <w:gridCol w:w="3960"/>
            </w:tblGrid>
            <w:tr>
              <w:trPr>
                <w:trHeight w:val="6" w:hRule="atLeast"/>
              </w:trPr>
              <w:tc>
                <w:tcPr>
                  <w:tcW w:w="3960" w:type="dxa"/>
                </w:tcPr>
                <w:p>
                  <w:pPr>
                    <w:numPr>
                      <w:ilvl w:val="0"/>
                      <w:numId w:val="9"/>
                    </w:numPr>
                    <w:tabs>
                      <w:tab w:val="left" w:pos="2610"/>
                    </w:tabs>
                    <w:ind w:hanging="648"/>
                    <w:contextualSpacing/>
                    <w:rPr>
                      <w:rFonts w:ascii="Times New Roman" w:hAnsi="Times New Roman" w:cs="Times New Roman"/>
                      <w:sz w:val="20"/>
                      <w:szCs w:val="20"/>
                    </w:rPr>
                  </w:pPr>
                  <w:r>
                    <w:rPr>
                      <w:rFonts w:ascii="Times New Roman" w:hAnsi="Times New Roman" w:cs="Times New Roman"/>
                      <w:sz w:val="20"/>
                      <w:szCs w:val="20"/>
                    </w:rPr>
                    <w:t>I at all times agree with the patient’s self-report of pain</w:t>
                  </w:r>
                </w:p>
              </w:tc>
            </w:tr>
          </w:tbl>
          <w:p>
            <w:pPr>
              <w:tabs>
                <w:tab w:val="left" w:pos="2610"/>
              </w:tabs>
              <w:autoSpaceDE w:val="0"/>
              <w:autoSpaceDN w:val="0"/>
              <w:adjustRightInd w:val="0"/>
              <w:spacing w:after="0" w:line="240" w:lineRule="auto"/>
              <w:rPr>
                <w:rFonts w:ascii="Times New Roman" w:hAnsi="Times New Roman" w:eastAsia="MS Mincho" w:cs="Times New Roman"/>
                <w:sz w:val="20"/>
                <w:szCs w:val="20"/>
                <w:lang w:eastAsia="ja-JP"/>
              </w:rPr>
            </w:pP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27</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29</w:t>
            </w:r>
          </w:p>
        </w:tc>
        <w:tc>
          <w:tcPr>
            <w:tcW w:w="99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3.25 </w:t>
            </w:r>
          </w:p>
        </w:tc>
        <w:tc>
          <w:tcPr>
            <w:tcW w:w="1092"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89" w:hRule="atLeast"/>
        </w:trPr>
        <w:tc>
          <w:tcPr>
            <w:tcW w:w="5058" w:type="dxa"/>
            <w:tcBorders>
              <w:top w:val="single" w:color="auto" w:sz="4" w:space="0"/>
              <w:left w:val="single" w:color="auto" w:sz="4" w:space="0"/>
              <w:bottom w:val="single" w:color="auto" w:sz="4" w:space="0"/>
              <w:right w:val="single" w:color="auto" w:sz="4" w:space="0"/>
            </w:tcBorders>
          </w:tcPr>
          <w:p>
            <w:pPr>
              <w:numPr>
                <w:ilvl w:val="0"/>
                <w:numId w:val="9"/>
              </w:numPr>
              <w:tabs>
                <w:tab w:val="left" w:pos="2610"/>
              </w:tabs>
              <w:autoSpaceDE w:val="0"/>
              <w:autoSpaceDN w:val="0"/>
              <w:adjustRightInd w:val="0"/>
              <w:spacing w:after="0" w:line="240" w:lineRule="auto"/>
              <w:contextualSpacing/>
              <w:rPr>
                <w:rFonts w:ascii="Times New Roman" w:hAnsi="Times New Roman" w:eastAsia="MS Mincho" w:cs="Times New Roman"/>
                <w:sz w:val="20"/>
                <w:szCs w:val="20"/>
                <w:lang w:eastAsia="ja-JP"/>
              </w:rPr>
            </w:pPr>
            <w:r>
              <w:rPr>
                <w:rFonts w:ascii="Times New Roman" w:hAnsi="Times New Roman" w:eastAsia="Times New Roman" w:cs="Times New Roman"/>
                <w:sz w:val="20"/>
                <w:szCs w:val="20"/>
              </w:rPr>
              <w:t>Lack of expression in the postoperative patient means a lack of pain</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17</w:t>
            </w: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20</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16</w:t>
            </w:r>
          </w:p>
        </w:tc>
        <w:tc>
          <w:tcPr>
            <w:tcW w:w="99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1.62 </w:t>
            </w:r>
          </w:p>
        </w:tc>
        <w:tc>
          <w:tcPr>
            <w:tcW w:w="1092"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5058" w:type="dxa"/>
            <w:tcBorders>
              <w:top w:val="single" w:color="auto" w:sz="4" w:space="0"/>
              <w:left w:val="single" w:color="auto" w:sz="4" w:space="0"/>
              <w:bottom w:val="single" w:color="auto" w:sz="4" w:space="0"/>
              <w:right w:val="single" w:color="auto" w:sz="4" w:space="0"/>
            </w:tcBorders>
          </w:tcPr>
          <w:p>
            <w:pPr>
              <w:numPr>
                <w:ilvl w:val="0"/>
                <w:numId w:val="9"/>
              </w:numPr>
              <w:tabs>
                <w:tab w:val="left" w:pos="2610"/>
              </w:tabs>
              <w:autoSpaceDE w:val="0"/>
              <w:autoSpaceDN w:val="0"/>
              <w:adjustRightInd w:val="0"/>
              <w:spacing w:after="0" w:line="240" w:lineRule="auto"/>
              <w:contextualSpacing/>
              <w:rPr>
                <w:rFonts w:ascii="Times New Roman" w:hAnsi="Times New Roman" w:eastAsia="Times New Roman" w:cs="Times New Roman"/>
                <w:sz w:val="20"/>
                <w:szCs w:val="20"/>
              </w:rPr>
            </w:pPr>
            <w:r>
              <w:rPr>
                <w:rFonts w:ascii="Times New Roman" w:hAnsi="Times New Roman" w:eastAsia="MS Mincho" w:cs="Times New Roman"/>
                <w:sz w:val="20"/>
                <w:szCs w:val="20"/>
                <w:lang w:eastAsia="ja-JP"/>
              </w:rPr>
              <w:t>Morphine is a very strong drug. Post-operative patients would be contented with just one dose.</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12</w:t>
            </w: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26</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18</w:t>
            </w:r>
          </w:p>
        </w:tc>
        <w:tc>
          <w:tcPr>
            <w:tcW w:w="99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1.63</w:t>
            </w:r>
          </w:p>
        </w:tc>
        <w:tc>
          <w:tcPr>
            <w:tcW w:w="1102" w:type="dxa"/>
            <w:gridSpan w:val="2"/>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 .486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889" w:hRule="atLeast"/>
        </w:trPr>
        <w:tc>
          <w:tcPr>
            <w:tcW w:w="5058" w:type="dxa"/>
            <w:tcBorders>
              <w:top w:val="single" w:color="auto" w:sz="4" w:space="0"/>
              <w:left w:val="single" w:color="auto" w:sz="4" w:space="0"/>
              <w:bottom w:val="single" w:color="auto" w:sz="4" w:space="0"/>
              <w:right w:val="single" w:color="auto" w:sz="4" w:space="0"/>
            </w:tcBorders>
          </w:tcPr>
          <w:tbl>
            <w:tblPr>
              <w:tblStyle w:val="7"/>
              <w:tblW w:w="4050" w:type="dxa"/>
              <w:tblInd w:w="0" w:type="dxa"/>
              <w:tblLayout w:type="fixed"/>
              <w:tblCellMar>
                <w:top w:w="0" w:type="dxa"/>
                <w:left w:w="108" w:type="dxa"/>
                <w:bottom w:w="0" w:type="dxa"/>
                <w:right w:w="108" w:type="dxa"/>
              </w:tblCellMar>
            </w:tblPr>
            <w:tblGrid>
              <w:gridCol w:w="4050"/>
            </w:tblGrid>
            <w:tr>
              <w:tblPrEx>
                <w:tblCellMar>
                  <w:top w:w="0" w:type="dxa"/>
                  <w:left w:w="108" w:type="dxa"/>
                  <w:bottom w:w="0" w:type="dxa"/>
                  <w:right w:w="108" w:type="dxa"/>
                </w:tblCellMar>
              </w:tblPrEx>
              <w:trPr>
                <w:trHeight w:val="290" w:hRule="atLeast"/>
              </w:trPr>
              <w:tc>
                <w:tcPr>
                  <w:tcW w:w="4050" w:type="dxa"/>
                </w:tcPr>
                <w:p>
                  <w:pPr>
                    <w:numPr>
                      <w:ilvl w:val="0"/>
                      <w:numId w:val="9"/>
                    </w:numPr>
                    <w:tabs>
                      <w:tab w:val="left" w:pos="2610"/>
                    </w:tabs>
                    <w:autoSpaceDE w:val="0"/>
                    <w:autoSpaceDN w:val="0"/>
                    <w:adjustRightInd w:val="0"/>
                    <w:ind w:right="60"/>
                    <w:contextualSpacing/>
                    <w:jc w:val="both"/>
                    <w:rPr>
                      <w:rFonts w:ascii="Times New Roman" w:hAnsi="Times New Roman" w:cs="Times New Roman"/>
                      <w:sz w:val="20"/>
                      <w:szCs w:val="20"/>
                    </w:rPr>
                  </w:pPr>
                  <w:r>
                    <w:rPr>
                      <w:rFonts w:ascii="Times New Roman" w:hAnsi="Times New Roman" w:cs="Times New Roman"/>
                      <w:sz w:val="20"/>
                      <w:szCs w:val="20"/>
                    </w:rPr>
                    <w:t>Patients suffering from pain, always complain to the primary nurse</w:t>
                  </w:r>
                </w:p>
              </w:tc>
            </w:tr>
          </w:tbl>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16</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17</w:t>
            </w: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21</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99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1.63 </w:t>
            </w:r>
          </w:p>
        </w:tc>
        <w:tc>
          <w:tcPr>
            <w:tcW w:w="1092"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609" w:hRule="atLeast"/>
        </w:trPr>
        <w:tc>
          <w:tcPr>
            <w:tcW w:w="5058" w:type="dxa"/>
            <w:tcBorders>
              <w:top w:val="single" w:color="auto" w:sz="4" w:space="0"/>
              <w:left w:val="single" w:color="auto" w:sz="4" w:space="0"/>
              <w:bottom w:val="single" w:color="auto" w:sz="4" w:space="0"/>
              <w:right w:val="single" w:color="auto" w:sz="4" w:space="0"/>
            </w:tcBorders>
          </w:tcPr>
          <w:p>
            <w:pPr>
              <w:numPr>
                <w:ilvl w:val="0"/>
                <w:numId w:val="9"/>
              </w:numPr>
              <w:tabs>
                <w:tab w:val="left" w:pos="2610"/>
              </w:tabs>
              <w:spacing w:after="0" w:line="240" w:lineRule="auto"/>
              <w:contextualSpacing/>
              <w:rPr>
                <w:rFonts w:ascii="Times New Roman" w:hAnsi="Times New Roman" w:eastAsia="Times New Roman" w:cs="Times New Roman"/>
                <w:sz w:val="20"/>
                <w:szCs w:val="20"/>
              </w:rPr>
            </w:pPr>
            <w:r>
              <w:rPr>
                <w:rFonts w:ascii="Times New Roman" w:hAnsi="Times New Roman" w:eastAsia="Times New Roman" w:cs="Times New Roman"/>
                <w:sz w:val="20"/>
                <w:szCs w:val="20"/>
              </w:rPr>
              <w:t>Your visual assessment of the patient reporting pain influences your response and treatment of POP.</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19</w:t>
            </w:r>
          </w:p>
        </w:tc>
        <w:tc>
          <w:tcPr>
            <w:tcW w:w="99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3.15 </w:t>
            </w:r>
          </w:p>
        </w:tc>
        <w:tc>
          <w:tcPr>
            <w:tcW w:w="1092"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744" w:hRule="atLeast"/>
        </w:trPr>
        <w:tc>
          <w:tcPr>
            <w:tcW w:w="5058"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tbl>
            <w:tblPr>
              <w:tblStyle w:val="7"/>
              <w:tblW w:w="4140" w:type="dxa"/>
              <w:tblInd w:w="0" w:type="dxa"/>
              <w:tblLayout w:type="fixed"/>
              <w:tblCellMar>
                <w:top w:w="0" w:type="dxa"/>
                <w:left w:w="108" w:type="dxa"/>
                <w:bottom w:w="0" w:type="dxa"/>
                <w:right w:w="108" w:type="dxa"/>
              </w:tblCellMar>
            </w:tblPr>
            <w:tblGrid>
              <w:gridCol w:w="4140"/>
            </w:tblGrid>
            <w:tr>
              <w:trPr>
                <w:trHeight w:val="146" w:hRule="atLeast"/>
              </w:trPr>
              <w:tc>
                <w:tcPr>
                  <w:tcW w:w="4140" w:type="dxa"/>
                </w:tcPr>
                <w:p>
                  <w:pPr>
                    <w:numPr>
                      <w:ilvl w:val="0"/>
                      <w:numId w:val="9"/>
                    </w:numPr>
                    <w:tabs>
                      <w:tab w:val="left" w:pos="2610"/>
                    </w:tabs>
                    <w:autoSpaceDE w:val="0"/>
                    <w:autoSpaceDN w:val="0"/>
                    <w:adjustRightInd w:val="0"/>
                    <w:ind w:right="60"/>
                    <w:contextualSpacing/>
                    <w:rPr>
                      <w:rFonts w:ascii="Times New Roman" w:hAnsi="Times New Roman" w:cs="Times New Roman"/>
                      <w:sz w:val="20"/>
                      <w:szCs w:val="20"/>
                    </w:rPr>
                  </w:pPr>
                  <w:r>
                    <w:rPr>
                      <w:rFonts w:ascii="Times New Roman" w:hAnsi="Times New Roman" w:cs="Times New Roman"/>
                      <w:sz w:val="20"/>
                      <w:szCs w:val="20"/>
                    </w:rPr>
                    <w:t xml:space="preserve">Nurses should rely exclusively on patients’ assessment to determine pain intensity </w:t>
                  </w:r>
                </w:p>
              </w:tc>
            </w:tr>
          </w:tbl>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19</w:t>
            </w:r>
          </w:p>
        </w:tc>
        <w:tc>
          <w:tcPr>
            <w:tcW w:w="99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3.15 </w:t>
            </w:r>
          </w:p>
        </w:tc>
        <w:tc>
          <w:tcPr>
            <w:tcW w:w="1092"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54" w:hRule="atLeast"/>
        </w:trPr>
        <w:tc>
          <w:tcPr>
            <w:tcW w:w="5058" w:type="dxa"/>
            <w:tcBorders>
              <w:top w:val="single" w:color="auto" w:sz="4" w:space="0"/>
              <w:left w:val="single" w:color="auto" w:sz="4" w:space="0"/>
              <w:bottom w:val="single" w:color="auto" w:sz="4" w:space="0"/>
              <w:right w:val="single" w:color="auto" w:sz="4" w:space="0"/>
            </w:tcBorders>
          </w:tcPr>
          <w:p>
            <w:pPr>
              <w:numPr>
                <w:ilvl w:val="0"/>
                <w:numId w:val="9"/>
              </w:numPr>
              <w:tabs>
                <w:tab w:val="left" w:pos="2610"/>
              </w:tabs>
              <w:autoSpaceDE w:val="0"/>
              <w:autoSpaceDN w:val="0"/>
              <w:adjustRightInd w:val="0"/>
              <w:spacing w:after="0" w:line="240" w:lineRule="auto"/>
              <w:ind w:right="60"/>
              <w:contextualSpacing/>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Spiritual briefs may determine how a patient responds to pain. </w:t>
            </w: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19</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29</w:t>
            </w:r>
          </w:p>
        </w:tc>
        <w:tc>
          <w:tcPr>
            <w:tcW w:w="99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3.17</w:t>
            </w:r>
          </w:p>
        </w:tc>
        <w:tc>
          <w:tcPr>
            <w:tcW w:w="1092"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836" w:hRule="atLeast"/>
        </w:trPr>
        <w:tc>
          <w:tcPr>
            <w:tcW w:w="5058" w:type="dxa"/>
            <w:tcBorders>
              <w:top w:val="single" w:color="auto" w:sz="4" w:space="0"/>
              <w:left w:val="single" w:color="auto" w:sz="4" w:space="0"/>
              <w:bottom w:val="single" w:color="auto" w:sz="4" w:space="0"/>
              <w:right w:val="single" w:color="auto" w:sz="4" w:space="0"/>
            </w:tcBorders>
          </w:tcPr>
          <w:p>
            <w:pPr>
              <w:numPr>
                <w:ilvl w:val="0"/>
                <w:numId w:val="9"/>
              </w:numPr>
              <w:tabs>
                <w:tab w:val="left" w:pos="2610"/>
              </w:tabs>
              <w:spacing w:after="0" w:line="240" w:lineRule="auto"/>
              <w:contextualSpacing/>
              <w:rPr>
                <w:rFonts w:ascii="Times New Roman" w:hAnsi="Times New Roman" w:eastAsia="Times New Roman" w:cs="Times New Roman"/>
                <w:sz w:val="20"/>
                <w:szCs w:val="20"/>
              </w:rPr>
            </w:pPr>
            <w:r>
              <w:rPr>
                <w:rFonts w:ascii="Times New Roman" w:hAnsi="Times New Roman" w:eastAsia="Times New Roman" w:cs="Times New Roman"/>
                <w:sz w:val="20"/>
                <w:szCs w:val="20"/>
              </w:rPr>
              <w:t>Patients complaining of pain is not my priority when I am busy</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22</w:t>
            </w: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24</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99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1.77 </w:t>
            </w:r>
          </w:p>
        </w:tc>
        <w:tc>
          <w:tcPr>
            <w:tcW w:w="1092"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bookmarkStart w:id="216" w:name="_Hlk125630082"/>
            <w:r>
              <w:rPr>
                <w:rFonts w:ascii="Times New Roman" w:hAnsi="Times New Roman" w:eastAsia="Times New Roman" w:cs="Times New Roman"/>
                <w:sz w:val="20"/>
                <w:szCs w:val="20"/>
              </w:rPr>
              <w:t>.</w:t>
            </w:r>
            <w:bookmarkEnd w:id="216"/>
            <w:r>
              <w:rPr>
                <w:rFonts w:ascii="Times New Roman" w:hAnsi="Times New Roman" w:eastAsia="Times New Roman" w:cs="Times New Roman"/>
                <w:sz w:val="20"/>
                <w:szCs w:val="20"/>
              </w:rPr>
              <w:t>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536" w:hRule="atLeast"/>
        </w:trPr>
        <w:tc>
          <w:tcPr>
            <w:tcW w:w="5058" w:type="dxa"/>
            <w:tcBorders>
              <w:top w:val="single" w:color="auto" w:sz="4" w:space="0"/>
              <w:left w:val="single" w:color="auto" w:sz="4" w:space="0"/>
              <w:bottom w:val="single" w:color="auto" w:sz="4" w:space="0"/>
              <w:right w:val="single" w:color="auto" w:sz="4" w:space="0"/>
            </w:tcBorders>
          </w:tcPr>
          <w:p>
            <w:pPr>
              <w:numPr>
                <w:ilvl w:val="0"/>
                <w:numId w:val="9"/>
              </w:numPr>
              <w:tabs>
                <w:tab w:val="left" w:pos="2610"/>
              </w:tabs>
              <w:autoSpaceDE w:val="0"/>
              <w:autoSpaceDN w:val="0"/>
              <w:adjustRightInd w:val="0"/>
              <w:spacing w:after="0" w:line="240" w:lineRule="auto"/>
              <w:rPr>
                <w:rFonts w:ascii="Times New Roman" w:hAnsi="Times New Roman" w:eastAsia="Times New Roman" w:cs="Times New Roman"/>
                <w:sz w:val="20"/>
                <w:szCs w:val="20"/>
                <w:shd w:val="clear" w:color="auto" w:fill="FFFFFF"/>
              </w:rPr>
            </w:pPr>
            <w:r>
              <w:rPr>
                <w:rFonts w:ascii="Times New Roman" w:hAnsi="Times New Roman" w:eastAsia="Times New Roman" w:cs="Times New Roman"/>
                <w:sz w:val="20"/>
                <w:szCs w:val="20"/>
                <w:shd w:val="clear" w:color="auto" w:fill="FFFFFF"/>
              </w:rPr>
              <w:t>The type of surgery done affects your response to pain management.</w:t>
            </w: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13</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28</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13</w:t>
            </w:r>
          </w:p>
        </w:tc>
        <w:tc>
          <w:tcPr>
            <w:tcW w:w="99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2.68 </w:t>
            </w:r>
          </w:p>
        </w:tc>
        <w:tc>
          <w:tcPr>
            <w:tcW w:w="1092"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70" w:hRule="atLeast"/>
        </w:trPr>
        <w:tc>
          <w:tcPr>
            <w:tcW w:w="5058" w:type="dxa"/>
            <w:tcBorders>
              <w:top w:val="single" w:color="auto" w:sz="4" w:space="0"/>
              <w:left w:val="single" w:color="auto" w:sz="4" w:space="0"/>
              <w:bottom w:val="single" w:color="auto" w:sz="4" w:space="0"/>
              <w:right w:val="single" w:color="auto" w:sz="4" w:space="0"/>
            </w:tcBorders>
          </w:tcPr>
          <w:p>
            <w:pPr>
              <w:numPr>
                <w:ilvl w:val="0"/>
                <w:numId w:val="9"/>
              </w:numPr>
              <w:tabs>
                <w:tab w:val="left" w:pos="2610"/>
              </w:tabs>
              <w:autoSpaceDE w:val="0"/>
              <w:autoSpaceDN w:val="0"/>
              <w:adjustRightInd w:val="0"/>
              <w:spacing w:after="0" w:line="240" w:lineRule="auto"/>
              <w:ind w:right="60"/>
              <w:contextualSpacing/>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Women exaggerate post-operative pain during assessment. </w:t>
            </w:r>
          </w:p>
          <w:p>
            <w:pPr>
              <w:tabs>
                <w:tab w:val="left" w:pos="2610"/>
              </w:tabs>
              <w:autoSpaceDE w:val="0"/>
              <w:autoSpaceDN w:val="0"/>
              <w:adjustRightInd w:val="0"/>
              <w:spacing w:after="0" w:line="240" w:lineRule="auto"/>
              <w:rPr>
                <w:rFonts w:ascii="Times New Roman" w:hAnsi="Times New Roman" w:eastAsia="Times New Roman" w:cs="Times New Roman"/>
                <w:sz w:val="20"/>
                <w:szCs w:val="20"/>
                <w:shd w:val="clear" w:color="auto" w:fill="FFFFFF"/>
              </w:rPr>
            </w:pP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18</w:t>
            </w:r>
          </w:p>
        </w:tc>
        <w:tc>
          <w:tcPr>
            <w:tcW w:w="63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26</w:t>
            </w:r>
          </w:p>
        </w:tc>
        <w:tc>
          <w:tcPr>
            <w:tcW w:w="72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990"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1.73 </w:t>
            </w:r>
          </w:p>
        </w:tc>
        <w:tc>
          <w:tcPr>
            <w:tcW w:w="1092"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.446</w:t>
            </w:r>
          </w:p>
        </w:tc>
      </w:tr>
    </w:tbl>
    <w:p>
      <w:pPr>
        <w:rPr>
          <w:rFonts w:ascii="Times New Roman" w:hAnsi="Times New Roman" w:cs="Times New Roman"/>
          <w:sz w:val="24"/>
          <w:szCs w:val="24"/>
        </w:rPr>
      </w:pPr>
    </w:p>
    <w:p>
      <w:pPr>
        <w:tabs>
          <w:tab w:val="left" w:pos="2610"/>
        </w:tabs>
        <w:autoSpaceDE w:val="0"/>
        <w:autoSpaceDN w:val="0"/>
        <w:adjustRightInd w:val="0"/>
        <w:spacing w:line="480" w:lineRule="auto"/>
        <w:ind w:right="6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Table 10 shows that most of the respondents had an unacceptable attitude toward post-operative pain management. For example, the respondents agreed with the statement that lack of expression in postoperative patients meant lack of pain (M=1.62, SD =.490). Similarly, the respondents agreed with the statement that morphine is a strong drug, and patients should be contented with just one dose (M=1.63, SD=.486). Furthermore, the respondents agreed with the statement that patients suffering from pain, always complain to the primary nurse (M=1.63, SD=.486). Likewise, the respondents agreed with the statement that the visual assessment of the patient reporting pain influences the response and treatment of POP (M= 3.15, SD=.709). Last but not least, the respondents agreed with the statement that patients complaining of pain is not the priority when busy (M=1.77, SD=.427). Lastly, the respondents agreed with the statement that women exaggerated post-operative pain during assessment (M=1.73, SD=.446). </w:t>
      </w:r>
    </w:p>
    <w:p>
      <w:pPr>
        <w:tabs>
          <w:tab w:val="left" w:pos="2610"/>
        </w:tabs>
        <w:autoSpaceDE w:val="0"/>
        <w:autoSpaceDN w:val="0"/>
        <w:adjustRightInd w:val="0"/>
        <w:spacing w:line="480" w:lineRule="auto"/>
        <w:ind w:right="60" w:firstLine="720"/>
        <w:contextualSpacing/>
        <w:jc w:val="both"/>
        <w:rPr>
          <w:rFonts w:ascii="Times New Roman" w:hAnsi="Times New Roman" w:cs="Times New Roman"/>
          <w:bCs/>
          <w:sz w:val="24"/>
          <w:szCs w:val="24"/>
        </w:rPr>
      </w:pPr>
      <w:r>
        <w:rPr>
          <w:rFonts w:ascii="Times New Roman" w:hAnsi="Times New Roman" w:cs="Times New Roman"/>
          <w:sz w:val="24"/>
          <w:szCs w:val="24"/>
        </w:rPr>
        <w:t xml:space="preserve">Nevertheless, some respondents displayed an acceptable attitude toward post-operative pain management. For instance, the respondents agreed to the statement that at all times agree with the patient’s self-report of pain (M= 3.25, SD= .773). Also, the respondents agreed with the statement that nurses should rely exclusively on patients’ assessment to determine pain intensity (M=3.15, SD =.709). Likewise, the respondents agreed with the statement that spiritual briefs may determine how a patient responded to pain (M= 3.17, SD= 1.011). In addition, the patients agreed to the statement that the type of surgery affected the response to pain management (2.68, SD=1.049). Following the application of the educational intervention of integrating the pain assessment scale into nurses’ attitudes, the researcher carried out a posttest and the findings are presented </w:t>
      </w:r>
      <w:r>
        <w:rPr>
          <w:rFonts w:ascii="Times New Roman" w:hAnsi="Times New Roman" w:cs="Times New Roman"/>
          <w:bCs/>
          <w:sz w:val="24"/>
          <w:szCs w:val="24"/>
        </w:rPr>
        <w:t>in Table 11.</w:t>
      </w:r>
    </w:p>
    <w:p>
      <w:pPr>
        <w:tabs>
          <w:tab w:val="left" w:pos="2610"/>
        </w:tabs>
        <w:autoSpaceDE w:val="0"/>
        <w:autoSpaceDN w:val="0"/>
        <w:adjustRightInd w:val="0"/>
        <w:spacing w:line="480" w:lineRule="auto"/>
        <w:ind w:right="60" w:firstLine="720"/>
        <w:contextualSpacing/>
        <w:jc w:val="both"/>
        <w:rPr>
          <w:rFonts w:ascii="Times New Roman" w:hAnsi="Times New Roman" w:cs="Times New Roman"/>
          <w:bCs/>
          <w:sz w:val="24"/>
          <w:szCs w:val="24"/>
        </w:rPr>
      </w:pPr>
    </w:p>
    <w:p>
      <w:pPr>
        <w:pStyle w:val="9"/>
        <w:keepNext/>
        <w:rPr>
          <w:rFonts w:ascii="Times New Roman" w:hAnsi="Times New Roman" w:cs="Times New Roman"/>
          <w:sz w:val="24"/>
          <w:szCs w:val="24"/>
        </w:rPr>
      </w:pPr>
      <w:bookmarkStart w:id="217" w:name="_Toc134608203"/>
      <w:bookmarkStart w:id="218" w:name="_Toc134604187"/>
      <w:bookmarkStart w:id="219" w:name="_Toc120852260"/>
      <w:r>
        <w:rPr>
          <w:rFonts w:ascii="Times New Roman" w:hAnsi="Times New Roman" w:cs="Times New Roman"/>
          <w:sz w:val="24"/>
          <w:szCs w:val="24"/>
        </w:rPr>
        <w:t xml:space="preserve">Table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Table \* ARABIC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1 Posttest attitude towards post-operative pain management.</w:t>
      </w:r>
      <w:bookmarkEnd w:id="217"/>
    </w:p>
    <w:bookmarkEnd w:id="218"/>
    <w:bookmarkEnd w:id="219"/>
    <w:tbl>
      <w:tblPr>
        <w:tblStyle w:val="47"/>
        <w:tblW w:w="9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1"/>
        <w:gridCol w:w="801"/>
        <w:gridCol w:w="773"/>
        <w:gridCol w:w="696"/>
        <w:gridCol w:w="618"/>
        <w:gridCol w:w="773"/>
        <w:gridCol w:w="2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3991"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Variable </w:t>
            </w:r>
          </w:p>
        </w:tc>
        <w:tc>
          <w:tcPr>
            <w:tcW w:w="801"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SD</w:t>
            </w: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73"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w:t>
            </w: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96"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w:t>
            </w: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18"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SA</w:t>
            </w: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773"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Mean </w:t>
            </w:r>
          </w:p>
        </w:tc>
        <w:tc>
          <w:tcPr>
            <w:tcW w:w="2296"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3991" w:type="dxa"/>
            <w:tcBorders>
              <w:top w:val="single" w:color="auto" w:sz="4" w:space="0"/>
              <w:left w:val="single" w:color="auto" w:sz="4" w:space="0"/>
              <w:bottom w:val="single" w:color="auto" w:sz="4" w:space="0"/>
              <w:right w:val="single" w:color="auto" w:sz="4" w:space="0"/>
            </w:tcBorders>
          </w:tcPr>
          <w:p>
            <w:pPr>
              <w:numPr>
                <w:ilvl w:val="0"/>
                <w:numId w:val="10"/>
              </w:numPr>
              <w:tabs>
                <w:tab w:val="left" w:pos="2610"/>
              </w:tabs>
              <w:spacing w:after="0" w:line="240" w:lineRule="auto"/>
              <w:contextualSpacing/>
              <w:rPr>
                <w:rFonts w:ascii="Times New Roman" w:hAnsi="Times New Roman" w:eastAsia="Times New Roman" w:cs="Times New Roman"/>
                <w:sz w:val="20"/>
                <w:szCs w:val="20"/>
              </w:rPr>
            </w:pPr>
            <w:r>
              <w:rPr>
                <w:rFonts w:ascii="Times New Roman" w:hAnsi="Times New Roman" w:eastAsia="Times New Roman" w:cs="Times New Roman"/>
                <w:sz w:val="20"/>
                <w:szCs w:val="20"/>
              </w:rPr>
              <w:t>I anticipate pain in all surgical procedures before I assess and treat pain in a patient.</w:t>
            </w:r>
          </w:p>
          <w:p>
            <w:pPr>
              <w:tabs>
                <w:tab w:val="left" w:pos="2610"/>
              </w:tabs>
              <w:autoSpaceDE w:val="0"/>
              <w:autoSpaceDN w:val="0"/>
              <w:adjustRightInd w:val="0"/>
              <w:spacing w:after="0" w:line="240" w:lineRule="auto"/>
              <w:rPr>
                <w:rFonts w:ascii="Times New Roman" w:hAnsi="Times New Roman" w:eastAsia="MS Mincho" w:cs="Times New Roman"/>
                <w:sz w:val="20"/>
                <w:szCs w:val="20"/>
                <w:lang w:eastAsia="ja-JP"/>
              </w:rPr>
            </w:pPr>
          </w:p>
        </w:tc>
        <w:tc>
          <w:tcPr>
            <w:tcW w:w="801"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73"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696"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27</w:t>
            </w:r>
          </w:p>
        </w:tc>
        <w:tc>
          <w:tcPr>
            <w:tcW w:w="618"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25</w:t>
            </w:r>
          </w:p>
        </w:tc>
        <w:tc>
          <w:tcPr>
            <w:tcW w:w="773"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3.38</w:t>
            </w:r>
          </w:p>
        </w:tc>
        <w:tc>
          <w:tcPr>
            <w:tcW w:w="2296"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3991" w:type="dxa"/>
            <w:tcBorders>
              <w:top w:val="single" w:color="auto" w:sz="4" w:space="0"/>
              <w:left w:val="single" w:color="auto" w:sz="4" w:space="0"/>
              <w:bottom w:val="single" w:color="auto" w:sz="4" w:space="0"/>
              <w:right w:val="single" w:color="auto" w:sz="4" w:space="0"/>
            </w:tcBorders>
          </w:tcPr>
          <w:tbl>
            <w:tblPr>
              <w:tblStyle w:val="7"/>
              <w:tblW w:w="3077" w:type="dxa"/>
              <w:tblInd w:w="0" w:type="dxa"/>
              <w:tblLayout w:type="fixed"/>
              <w:tblCellMar>
                <w:top w:w="0" w:type="dxa"/>
                <w:left w:w="108" w:type="dxa"/>
                <w:bottom w:w="0" w:type="dxa"/>
                <w:right w:w="108" w:type="dxa"/>
              </w:tblCellMar>
            </w:tblPr>
            <w:tblGrid>
              <w:gridCol w:w="3077"/>
            </w:tblGrid>
            <w:tr>
              <w:tblPrEx>
                <w:tblCellMar>
                  <w:top w:w="0" w:type="dxa"/>
                  <w:left w:w="108" w:type="dxa"/>
                  <w:bottom w:w="0" w:type="dxa"/>
                  <w:right w:w="108" w:type="dxa"/>
                </w:tblCellMar>
              </w:tblPrEx>
              <w:trPr>
                <w:trHeight w:val="37" w:hRule="atLeast"/>
              </w:trPr>
              <w:tc>
                <w:tcPr>
                  <w:tcW w:w="3077" w:type="dxa"/>
                </w:tcPr>
                <w:p>
                  <w:pPr>
                    <w:numPr>
                      <w:ilvl w:val="0"/>
                      <w:numId w:val="10"/>
                    </w:numPr>
                    <w:tabs>
                      <w:tab w:val="left" w:pos="2610"/>
                    </w:tabs>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If patient’s thoughts are distracted from pain, they usually do not suffer from severe pain </w:t>
                  </w:r>
                </w:p>
              </w:tc>
            </w:tr>
          </w:tbl>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tc>
        <w:tc>
          <w:tcPr>
            <w:tcW w:w="801"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773"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14</w:t>
            </w:r>
          </w:p>
        </w:tc>
        <w:tc>
          <w:tcPr>
            <w:tcW w:w="696"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18</w:t>
            </w:r>
          </w:p>
        </w:tc>
        <w:tc>
          <w:tcPr>
            <w:tcW w:w="618"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24</w:t>
            </w:r>
          </w:p>
        </w:tc>
        <w:tc>
          <w:tcPr>
            <w:tcW w:w="773"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2.88 </w:t>
            </w:r>
          </w:p>
        </w:tc>
        <w:tc>
          <w:tcPr>
            <w:tcW w:w="2296"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3991"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tbl>
            <w:tblPr>
              <w:tblStyle w:val="7"/>
              <w:tblW w:w="3694" w:type="dxa"/>
              <w:tblInd w:w="0" w:type="dxa"/>
              <w:tblLayout w:type="fixed"/>
              <w:tblCellMar>
                <w:top w:w="0" w:type="dxa"/>
                <w:left w:w="108" w:type="dxa"/>
                <w:bottom w:w="0" w:type="dxa"/>
                <w:right w:w="108" w:type="dxa"/>
              </w:tblCellMar>
            </w:tblPr>
            <w:tblGrid>
              <w:gridCol w:w="3694"/>
            </w:tblGrid>
            <w:tr>
              <w:trPr>
                <w:trHeight w:val="657" w:hRule="atLeast"/>
              </w:trPr>
              <w:tc>
                <w:tcPr>
                  <w:tcW w:w="3694" w:type="dxa"/>
                </w:tcPr>
                <w:p>
                  <w:pPr>
                    <w:numPr>
                      <w:ilvl w:val="0"/>
                      <w:numId w:val="10"/>
                    </w:numPr>
                    <w:tabs>
                      <w:tab w:val="left" w:pos="2610"/>
                    </w:tabs>
                    <w:contextualSpacing/>
                    <w:rPr>
                      <w:rFonts w:ascii="Times New Roman" w:hAnsi="Times New Roman" w:cs="Times New Roman"/>
                      <w:sz w:val="20"/>
                      <w:szCs w:val="20"/>
                    </w:rPr>
                  </w:pPr>
                  <w:r>
                    <w:rPr>
                      <w:rFonts w:ascii="Times New Roman" w:hAnsi="Times New Roman" w:cs="Times New Roman"/>
                      <w:sz w:val="20"/>
                      <w:szCs w:val="20"/>
                    </w:rPr>
                    <w:t>Using pain measurement instruments is integral in postoperative pain management</w:t>
                  </w:r>
                </w:p>
              </w:tc>
            </w:tr>
          </w:tbl>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tc>
        <w:tc>
          <w:tcPr>
            <w:tcW w:w="801"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tc>
        <w:tc>
          <w:tcPr>
            <w:tcW w:w="773"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96"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19</w:t>
            </w:r>
          </w:p>
        </w:tc>
        <w:tc>
          <w:tcPr>
            <w:tcW w:w="618"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29</w:t>
            </w:r>
          </w:p>
        </w:tc>
        <w:tc>
          <w:tcPr>
            <w:tcW w:w="773"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3.17 </w:t>
            </w:r>
          </w:p>
        </w:tc>
        <w:tc>
          <w:tcPr>
            <w:tcW w:w="2296"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3991"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tbl>
            <w:tblPr>
              <w:tblStyle w:val="7"/>
              <w:tblW w:w="3797" w:type="dxa"/>
              <w:tblInd w:w="0" w:type="dxa"/>
              <w:tblLayout w:type="fixed"/>
              <w:tblCellMar>
                <w:top w:w="0" w:type="dxa"/>
                <w:left w:w="108" w:type="dxa"/>
                <w:bottom w:w="0" w:type="dxa"/>
                <w:right w:w="108" w:type="dxa"/>
              </w:tblCellMar>
            </w:tblPr>
            <w:tblGrid>
              <w:gridCol w:w="3797"/>
            </w:tblGrid>
            <w:tr>
              <w:trPr>
                <w:trHeight w:val="61" w:hRule="atLeast"/>
              </w:trPr>
              <w:tc>
                <w:tcPr>
                  <w:tcW w:w="3797" w:type="dxa"/>
                </w:tcPr>
                <w:p>
                  <w:pPr>
                    <w:tabs>
                      <w:tab w:val="left" w:pos="2610"/>
                    </w:tabs>
                    <w:autoSpaceDE w:val="0"/>
                    <w:autoSpaceDN w:val="0"/>
                    <w:adjustRightInd w:val="0"/>
                    <w:spacing w:after="0" w:line="240" w:lineRule="auto"/>
                    <w:rPr>
                      <w:rFonts w:ascii="Times New Roman" w:hAnsi="Times New Roman" w:cs="Times New Roman"/>
                      <w:sz w:val="20"/>
                      <w:szCs w:val="20"/>
                    </w:rPr>
                  </w:pPr>
                </w:p>
              </w:tc>
            </w:tr>
            <w:tr>
              <w:trPr>
                <w:trHeight w:val="61" w:hRule="atLeast"/>
              </w:trPr>
              <w:tc>
                <w:tcPr>
                  <w:tcW w:w="3797" w:type="dxa"/>
                </w:tcPr>
                <w:p>
                  <w:pPr>
                    <w:numPr>
                      <w:ilvl w:val="0"/>
                      <w:numId w:val="10"/>
                    </w:numPr>
                    <w:tabs>
                      <w:tab w:val="left" w:pos="2610"/>
                    </w:tabs>
                    <w:contextualSpacing/>
                    <w:rPr>
                      <w:rFonts w:ascii="Times New Roman" w:hAnsi="Times New Roman" w:cs="Times New Roman"/>
                      <w:sz w:val="20"/>
                      <w:szCs w:val="20"/>
                    </w:rPr>
                  </w:pPr>
                  <w:bookmarkStart w:id="220" w:name="_Hlk125636122"/>
                  <w:r>
                    <w:rPr>
                      <w:rFonts w:ascii="Times New Roman" w:hAnsi="Times New Roman" w:cs="Times New Roman"/>
                      <w:sz w:val="20"/>
                      <w:szCs w:val="20"/>
                    </w:rPr>
                    <w:t>Elderly patients are not able to cope with opioid analgesics for pain relief</w:t>
                  </w:r>
                  <w:bookmarkEnd w:id="220"/>
                </w:p>
              </w:tc>
            </w:tr>
          </w:tbl>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tc>
        <w:tc>
          <w:tcPr>
            <w:tcW w:w="801"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73"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22</w:t>
            </w:r>
          </w:p>
        </w:tc>
        <w:tc>
          <w:tcPr>
            <w:tcW w:w="696"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24</w:t>
            </w:r>
          </w:p>
        </w:tc>
        <w:tc>
          <w:tcPr>
            <w:tcW w:w="618"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773"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1.77 </w:t>
            </w:r>
          </w:p>
        </w:tc>
        <w:tc>
          <w:tcPr>
            <w:tcW w:w="2296"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3991" w:type="dxa"/>
            <w:tcBorders>
              <w:top w:val="single" w:color="auto" w:sz="4" w:space="0"/>
              <w:left w:val="single" w:color="auto" w:sz="4" w:space="0"/>
              <w:bottom w:val="single" w:color="auto" w:sz="4" w:space="0"/>
              <w:right w:val="single" w:color="auto" w:sz="4" w:space="0"/>
            </w:tcBorders>
          </w:tcPr>
          <w:p>
            <w:pPr>
              <w:numPr>
                <w:ilvl w:val="0"/>
                <w:numId w:val="10"/>
              </w:num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Before using an opioid analgesic, I will encourage the patients to wait a while longer till the next dose.  </w:t>
            </w:r>
          </w:p>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p>
        </w:tc>
        <w:tc>
          <w:tcPr>
            <w:tcW w:w="801"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16</w:t>
            </w:r>
          </w:p>
        </w:tc>
        <w:tc>
          <w:tcPr>
            <w:tcW w:w="773"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17</w:t>
            </w:r>
          </w:p>
        </w:tc>
        <w:tc>
          <w:tcPr>
            <w:tcW w:w="696"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21</w:t>
            </w:r>
          </w:p>
        </w:tc>
        <w:tc>
          <w:tcPr>
            <w:tcW w:w="618"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773"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1.63 </w:t>
            </w:r>
          </w:p>
        </w:tc>
        <w:tc>
          <w:tcPr>
            <w:tcW w:w="2296" w:type="dxa"/>
            <w:tcBorders>
              <w:top w:val="single" w:color="auto" w:sz="4" w:space="0"/>
              <w:left w:val="single" w:color="auto" w:sz="4" w:space="0"/>
              <w:bottom w:val="single" w:color="auto" w:sz="4" w:space="0"/>
              <w:right w:val="single" w:color="auto" w:sz="4" w:space="0"/>
            </w:tcBorders>
          </w:tcPr>
          <w:p>
            <w:pPr>
              <w:tabs>
                <w:tab w:val="left" w:pos="2610"/>
              </w:tabs>
              <w:autoSpaceDE w:val="0"/>
              <w:autoSpaceDN w:val="0"/>
              <w:adjustRightInd w:val="0"/>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.486</w:t>
            </w:r>
          </w:p>
        </w:tc>
      </w:tr>
    </w:tbl>
    <w:p>
      <w:pPr>
        <w:tabs>
          <w:tab w:val="left" w:pos="2610"/>
        </w:tabs>
        <w:spacing w:line="480" w:lineRule="auto"/>
        <w:ind w:firstLine="720"/>
        <w:rPr>
          <w:rFonts w:ascii="Times New Roman" w:hAnsi="Times New Roman" w:cs="Times New Roman"/>
          <w:color w:val="000000" w:themeColor="text1"/>
          <w:sz w:val="24"/>
          <w:szCs w:val="24"/>
          <w14:textFill>
            <w14:solidFill>
              <w14:schemeClr w14:val="tx1"/>
            </w14:solidFill>
          </w14:textFill>
        </w:rPr>
      </w:pPr>
    </w:p>
    <w:p>
      <w:pPr>
        <w:tabs>
          <w:tab w:val="left" w:pos="2610"/>
        </w:tabs>
        <w:spacing w:line="480" w:lineRule="auto"/>
        <w:ind w:firstLine="720"/>
        <w:jc w:val="both"/>
        <w:rPr>
          <w:rFonts w:ascii="Times New Roman" w:hAnsi="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 xml:space="preserve">Table 11 shows </w:t>
      </w:r>
      <w:r>
        <w:rPr>
          <w:rFonts w:ascii="Times New Roman" w:hAnsi="Times New Roman" w:cs="Times New Roman"/>
          <w:sz w:val="24"/>
          <w:szCs w:val="24"/>
        </w:rPr>
        <w:t>that the majority of the respondent had an acceptable attitude toward post-operative pain management. For example, the respondents agreed with the statement that pain should be anticipated in all surgical procedures before the assessment and treatment of pain in post-operative patients (M= 3.38, SD =. 717). In addition, the respondents agreed with the statement that patients distracted from pain don’t suffer from severe pain (M= 2.88, SD= 1.027). Likewise, the respondents agreed</w:t>
      </w:r>
      <w:r>
        <w:rPr>
          <w:rFonts w:ascii="Times New Roman" w:hAnsi="Times New Roman" w:cs="Times New Roman"/>
          <w:color w:val="70AD47" w:themeColor="accent6"/>
          <w:sz w:val="24"/>
          <w:szCs w:val="24"/>
          <w14:textFill>
            <w14:solidFill>
              <w14:schemeClr w14:val="accent6"/>
            </w14:solidFill>
          </w14:textFill>
        </w:rPr>
        <w:t xml:space="preserve"> </w:t>
      </w:r>
      <w:r>
        <w:rPr>
          <w:rFonts w:ascii="Times New Roman" w:hAnsi="Times New Roman" w:cs="Times New Roman"/>
          <w:sz w:val="24"/>
          <w:szCs w:val="24"/>
        </w:rPr>
        <w:t>that using pain measurement instruments was integral in postoperative pain management (M= 3.17, SD= 1.011). Further, the respondents disagreed with the statement that before an opioid analgesic is used, will encourage the patients to wait a while longer till the next dose (M=1.63, SD = .486). But then, some respondents displayed an unacceptable attitude toward POP management. For example, the respondents disagreed with the statement that elderly patients are not able to cope with opioid analgesics for pain relief (M= 1.77, SD= .427). All the negatively stated statements were reversed for the respondents who disagreed received a higher score as they reflected an acceptable attitude. The post attitude total scores for the respondents were determined and categorized under two levels where (below 79% denoted an unacceptable attitude and above 80% denoted an acceptable attitude) respectively.   The findings are presented in Table 12.</w:t>
      </w:r>
    </w:p>
    <w:p>
      <w:pPr>
        <w:pStyle w:val="9"/>
        <w:keepNext/>
        <w:rPr>
          <w:rFonts w:ascii="Times New Roman" w:hAnsi="Times New Roman" w:cs="Times New Roman"/>
          <w:sz w:val="24"/>
          <w:szCs w:val="24"/>
        </w:rPr>
      </w:pPr>
      <w:bookmarkStart w:id="221" w:name="_Toc134608204"/>
      <w:r>
        <w:rPr>
          <w:rFonts w:ascii="Times New Roman" w:hAnsi="Times New Roman" w:cs="Times New Roman"/>
          <w:sz w:val="24"/>
          <w:szCs w:val="24"/>
        </w:rPr>
        <w:t xml:space="preserve">Table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Table \* ARABIC </w:instrText>
      </w:r>
      <w:r>
        <w:rPr>
          <w:rFonts w:ascii="Times New Roman" w:hAnsi="Times New Roman" w:cs="Times New Roman"/>
          <w:sz w:val="24"/>
          <w:szCs w:val="24"/>
        </w:rPr>
        <w:fldChar w:fldCharType="separate"/>
      </w:r>
      <w:r>
        <w:rPr>
          <w:rFonts w:ascii="Times New Roman" w:hAnsi="Times New Roman" w:cs="Times New Roman"/>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t xml:space="preserve"> Comparison of pretest and posttest totals.</w:t>
      </w:r>
      <w:bookmarkEnd w:id="221"/>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75"/>
        <w:gridCol w:w="2070"/>
        <w:gridCol w:w="3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775" w:type="dxa"/>
            <w:vMerge w:val="restart"/>
          </w:tcPr>
          <w:p>
            <w:pPr>
              <w:tabs>
                <w:tab w:val="left" w:pos="261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Category of totals </w:t>
            </w:r>
          </w:p>
        </w:tc>
        <w:tc>
          <w:tcPr>
            <w:tcW w:w="5400" w:type="dxa"/>
            <w:gridSpan w:val="2"/>
          </w:tcPr>
          <w:p>
            <w:pPr>
              <w:tabs>
                <w:tab w:val="left" w:pos="261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Attitude totals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775" w:type="dxa"/>
            <w:vMerge w:val="continue"/>
          </w:tcPr>
          <w:p>
            <w:pPr>
              <w:tabs>
                <w:tab w:val="left" w:pos="2610"/>
              </w:tabs>
              <w:spacing w:after="0" w:line="240" w:lineRule="auto"/>
              <w:rPr>
                <w:rFonts w:ascii="Times New Roman" w:hAnsi="Times New Roman" w:cs="Times New Roman"/>
                <w:sz w:val="24"/>
                <w:szCs w:val="24"/>
              </w:rPr>
            </w:pPr>
          </w:p>
        </w:tc>
        <w:tc>
          <w:tcPr>
            <w:tcW w:w="2070" w:type="dxa"/>
          </w:tcPr>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Pretest</w:t>
            </w:r>
          </w:p>
        </w:tc>
        <w:tc>
          <w:tcPr>
            <w:tcW w:w="3330" w:type="dxa"/>
          </w:tcPr>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Posttest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775" w:type="dxa"/>
          </w:tcPr>
          <w:p>
            <w:pPr>
              <w:tabs>
                <w:tab w:val="left" w:pos="2610"/>
              </w:tabs>
              <w:spacing w:after="0" w:line="240" w:lineRule="auto"/>
              <w:rPr>
                <w:rFonts w:ascii="Times New Roman" w:hAnsi="Times New Roman" w:cs="Times New Roman"/>
                <w:sz w:val="24"/>
                <w:szCs w:val="24"/>
              </w:rPr>
            </w:pPr>
            <w:r>
              <w:rPr>
                <w:rFonts w:ascii="Times New Roman" w:hAnsi="Times New Roman" w:cs="Times New Roman"/>
                <w:sz w:val="24"/>
                <w:szCs w:val="24"/>
              </w:rPr>
              <w:t>Below 79% (unacceptable attitude)</w:t>
            </w:r>
          </w:p>
        </w:tc>
        <w:tc>
          <w:tcPr>
            <w:tcW w:w="2070" w:type="dxa"/>
          </w:tcPr>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3330" w:type="dxa"/>
          </w:tcPr>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775" w:type="dxa"/>
          </w:tcPr>
          <w:p>
            <w:pPr>
              <w:tabs>
                <w:tab w:val="left" w:pos="2610"/>
              </w:tabs>
              <w:spacing w:after="0" w:line="240" w:lineRule="auto"/>
              <w:rPr>
                <w:rFonts w:ascii="Times New Roman" w:hAnsi="Times New Roman" w:cs="Times New Roman"/>
                <w:sz w:val="24"/>
                <w:szCs w:val="24"/>
              </w:rPr>
            </w:pPr>
            <w:r>
              <w:rPr>
                <w:rFonts w:ascii="Times New Roman" w:hAnsi="Times New Roman" w:cs="Times New Roman"/>
                <w:sz w:val="24"/>
                <w:szCs w:val="24"/>
              </w:rPr>
              <w:t>Above 80% (acceptable attitude)</w:t>
            </w:r>
          </w:p>
        </w:tc>
        <w:tc>
          <w:tcPr>
            <w:tcW w:w="2070" w:type="dxa"/>
          </w:tcPr>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None</w:t>
            </w:r>
          </w:p>
        </w:tc>
        <w:tc>
          <w:tcPr>
            <w:tcW w:w="3330" w:type="dxa"/>
          </w:tcPr>
          <w:p>
            <w:pPr>
              <w:tabs>
                <w:tab w:val="left" w:pos="26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21.7%</w:t>
            </w:r>
          </w:p>
        </w:tc>
      </w:tr>
    </w:tbl>
    <w:p>
      <w:pPr>
        <w:pStyle w:val="3"/>
        <w:spacing w:line="480" w:lineRule="auto"/>
        <w:rPr>
          <w:rFonts w:ascii="Times New Roman" w:hAnsi="Times New Roman" w:cs="Times New Roman"/>
          <w:sz w:val="24"/>
          <w:szCs w:val="24"/>
        </w:rPr>
      </w:pPr>
      <w:r>
        <w:rPr>
          <w:rFonts w:ascii="Times New Roman" w:hAnsi="Times New Roman" w:cs="Times New Roman"/>
          <w:sz w:val="24"/>
          <w:szCs w:val="24"/>
        </w:rPr>
        <w:t xml:space="preserve">       </w:t>
      </w:r>
      <w:bookmarkStart w:id="222" w:name="_Toc134608309"/>
      <w:bookmarkStart w:id="223" w:name="_Toc134604188"/>
      <w:bookmarkStart w:id="224" w:name="_Toc142753429"/>
    </w:p>
    <w:p>
      <w:pPr>
        <w:pStyle w:val="3"/>
        <w:spacing w:line="480" w:lineRule="auto"/>
        <w:rPr>
          <w:rFonts w:ascii="Times New Roman" w:hAnsi="Times New Roman" w:cs="Times New Roman"/>
          <w:b w:val="0"/>
          <w:bCs/>
          <w:color w:val="auto"/>
          <w:sz w:val="24"/>
          <w:szCs w:val="24"/>
          <w:shd w:val="clear" w:color="auto" w:fill="FFFFFF"/>
        </w:rPr>
      </w:pPr>
      <w:r>
        <w:rPr>
          <w:rFonts w:ascii="Times New Roman" w:hAnsi="Times New Roman" w:cs="Times New Roman"/>
          <w:sz w:val="24"/>
          <w:szCs w:val="24"/>
        </w:rPr>
        <w:t xml:space="preserve">             </w:t>
      </w:r>
      <w:r>
        <w:rPr>
          <w:rFonts w:ascii="Times New Roman" w:hAnsi="Times New Roman" w:cs="Times New Roman"/>
          <w:b w:val="0"/>
          <w:bCs/>
          <w:color w:val="auto"/>
          <w:sz w:val="24"/>
          <w:szCs w:val="24"/>
        </w:rPr>
        <w:t xml:space="preserve">Table 12 shows that the respondent’s level of attitude improved by 21.7% after the educational intervention. A paired t-test was conducted to </w:t>
      </w:r>
      <w:r>
        <w:rPr>
          <w:rFonts w:ascii="Times New Roman" w:hAnsi="Times New Roman" w:cs="Times New Roman"/>
          <w:b w:val="0"/>
          <w:bCs/>
          <w:color w:val="auto"/>
          <w:sz w:val="24"/>
          <w:szCs w:val="24"/>
          <w:shd w:val="clear" w:color="auto" w:fill="FFFFFF"/>
        </w:rPr>
        <w:t>determine the effect of the intervention.</w:t>
      </w:r>
      <w:bookmarkStart w:id="225" w:name="_Toc120852263"/>
      <w:r>
        <w:rPr>
          <w:rFonts w:ascii="Times New Roman" w:hAnsi="Times New Roman" w:cs="Times New Roman"/>
          <w:b w:val="0"/>
          <w:bCs/>
          <w:color w:val="auto"/>
          <w:sz w:val="24"/>
          <w:szCs w:val="24"/>
          <w:shd w:val="clear" w:color="auto" w:fill="FFFFFF"/>
        </w:rPr>
        <w:t xml:space="preserve"> The findings are illustrated in Table 1</w:t>
      </w:r>
      <w:bookmarkEnd w:id="222"/>
      <w:bookmarkEnd w:id="223"/>
      <w:bookmarkEnd w:id="224"/>
      <w:r>
        <w:rPr>
          <w:rFonts w:ascii="Times New Roman" w:hAnsi="Times New Roman" w:cs="Times New Roman"/>
          <w:b w:val="0"/>
          <w:bCs/>
          <w:color w:val="auto"/>
          <w:sz w:val="24"/>
          <w:szCs w:val="24"/>
          <w:shd w:val="clear" w:color="auto" w:fill="FFFFFF"/>
        </w:rPr>
        <w:t>3</w:t>
      </w:r>
    </w:p>
    <w:p>
      <w:pPr>
        <w:pStyle w:val="9"/>
        <w:keepNext/>
        <w:rPr>
          <w:rFonts w:ascii="Times New Roman" w:hAnsi="Times New Roman" w:cs="Times New Roman"/>
          <w:sz w:val="24"/>
          <w:szCs w:val="24"/>
        </w:rPr>
      </w:pPr>
      <w:bookmarkStart w:id="226" w:name="_Toc134608205"/>
      <w:bookmarkStart w:id="227" w:name="_Toc134604189"/>
      <w:r>
        <w:rPr>
          <w:rFonts w:ascii="Times New Roman" w:hAnsi="Times New Roman" w:cs="Times New Roman"/>
          <w:sz w:val="24"/>
          <w:szCs w:val="24"/>
        </w:rPr>
        <w:t>Table 13; Paired sample statistics for attitude</w:t>
      </w:r>
      <w:bookmarkEnd w:id="226"/>
    </w:p>
    <w:bookmarkEnd w:id="225"/>
    <w:bookmarkEnd w:id="227"/>
    <w:tbl>
      <w:tblPr>
        <w:tblStyle w:val="19"/>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1010"/>
        <w:gridCol w:w="1203"/>
        <w:gridCol w:w="891"/>
        <w:gridCol w:w="1324"/>
        <w:gridCol w:w="1074"/>
        <w:gridCol w:w="923"/>
        <w:gridCol w:w="540"/>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vMerge w:val="restart"/>
          </w:tcPr>
          <w:p>
            <w:pPr>
              <w:tabs>
                <w:tab w:val="left" w:pos="2610"/>
              </w:tabs>
              <w:spacing w:after="0" w:line="480" w:lineRule="auto"/>
              <w:rPr>
                <w:rFonts w:ascii="Times New Roman" w:hAnsi="Times New Roman" w:cs="Times New Roman"/>
                <w:sz w:val="20"/>
                <w:szCs w:val="20"/>
              </w:rPr>
            </w:pPr>
          </w:p>
        </w:tc>
        <w:tc>
          <w:tcPr>
            <w:tcW w:w="8495" w:type="dxa"/>
            <w:gridSpan w:val="8"/>
          </w:tcPr>
          <w:p>
            <w:pPr>
              <w:tabs>
                <w:tab w:val="left" w:pos="2610"/>
              </w:tabs>
              <w:spacing w:after="0" w:line="480" w:lineRule="auto"/>
              <w:rPr>
                <w:rFonts w:ascii="Times New Roman" w:hAnsi="Times New Roman" w:cs="Times New Roman"/>
                <w:sz w:val="20"/>
                <w:szCs w:val="20"/>
              </w:rPr>
            </w:pPr>
            <w:r>
              <w:rPr>
                <w:rFonts w:ascii="Times New Roman" w:hAnsi="Times New Roman" w:cs="Times New Roman"/>
                <w:sz w:val="20"/>
                <w:szCs w:val="20"/>
              </w:rPr>
              <w:t>Paired differences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vMerge w:val="continue"/>
          </w:tcPr>
          <w:p>
            <w:pPr>
              <w:tabs>
                <w:tab w:val="left" w:pos="2610"/>
              </w:tabs>
              <w:spacing w:after="0" w:line="480" w:lineRule="auto"/>
              <w:rPr>
                <w:rFonts w:ascii="Times New Roman" w:hAnsi="Times New Roman" w:cs="Times New Roman"/>
                <w:sz w:val="20"/>
                <w:szCs w:val="20"/>
              </w:rPr>
            </w:pPr>
          </w:p>
        </w:tc>
        <w:tc>
          <w:tcPr>
            <w:tcW w:w="1010" w:type="dxa"/>
          </w:tcPr>
          <w:p>
            <w:pPr>
              <w:tabs>
                <w:tab w:val="left" w:pos="2610"/>
              </w:tabs>
              <w:spacing w:after="0" w:line="480" w:lineRule="auto"/>
              <w:rPr>
                <w:rFonts w:ascii="Times New Roman" w:hAnsi="Times New Roman" w:cs="Times New Roman"/>
                <w:sz w:val="20"/>
                <w:szCs w:val="20"/>
              </w:rPr>
            </w:pPr>
            <w:r>
              <w:rPr>
                <w:rFonts w:ascii="Times New Roman" w:hAnsi="Times New Roman" w:cs="Times New Roman"/>
                <w:sz w:val="20"/>
                <w:szCs w:val="20"/>
              </w:rPr>
              <w:t xml:space="preserve">Mean </w:t>
            </w:r>
          </w:p>
        </w:tc>
        <w:tc>
          <w:tcPr>
            <w:tcW w:w="1203" w:type="dxa"/>
          </w:tcPr>
          <w:p>
            <w:pPr>
              <w:tabs>
                <w:tab w:val="left" w:pos="2610"/>
              </w:tabs>
              <w:spacing w:after="0" w:line="480" w:lineRule="auto"/>
              <w:rPr>
                <w:rFonts w:ascii="Times New Roman" w:hAnsi="Times New Roman" w:cs="Times New Roman"/>
                <w:sz w:val="20"/>
                <w:szCs w:val="20"/>
              </w:rPr>
            </w:pPr>
            <w:r>
              <w:rPr>
                <w:rFonts w:ascii="Times New Roman" w:hAnsi="Times New Roman" w:cs="Times New Roman"/>
                <w:sz w:val="20"/>
                <w:szCs w:val="20"/>
              </w:rPr>
              <w:t>Std. Deviation</w:t>
            </w:r>
          </w:p>
        </w:tc>
        <w:tc>
          <w:tcPr>
            <w:tcW w:w="891" w:type="dxa"/>
          </w:tcPr>
          <w:p>
            <w:pPr>
              <w:tabs>
                <w:tab w:val="left" w:pos="2610"/>
              </w:tabs>
              <w:spacing w:after="0" w:line="480" w:lineRule="auto"/>
              <w:rPr>
                <w:rFonts w:ascii="Times New Roman" w:hAnsi="Times New Roman" w:cs="Times New Roman"/>
                <w:sz w:val="20"/>
                <w:szCs w:val="20"/>
              </w:rPr>
            </w:pPr>
            <w:r>
              <w:rPr>
                <w:rFonts w:ascii="Times New Roman" w:hAnsi="Times New Roman" w:cs="Times New Roman"/>
                <w:sz w:val="20"/>
                <w:szCs w:val="20"/>
              </w:rPr>
              <w:t>Std. Error Mean</w:t>
            </w:r>
          </w:p>
        </w:tc>
        <w:tc>
          <w:tcPr>
            <w:tcW w:w="2398" w:type="dxa"/>
            <w:gridSpan w:val="2"/>
          </w:tcPr>
          <w:p>
            <w:pPr>
              <w:tabs>
                <w:tab w:val="left" w:pos="2610"/>
              </w:tabs>
              <w:spacing w:after="0" w:line="480" w:lineRule="auto"/>
              <w:rPr>
                <w:rFonts w:ascii="Times New Roman" w:hAnsi="Times New Roman" w:cs="Times New Roman"/>
                <w:sz w:val="20"/>
                <w:szCs w:val="20"/>
              </w:rPr>
            </w:pPr>
            <w:r>
              <w:rPr>
                <w:rFonts w:ascii="Times New Roman" w:hAnsi="Times New Roman" w:cs="Times New Roman"/>
                <w:sz w:val="20"/>
                <w:szCs w:val="20"/>
              </w:rPr>
              <w:t xml:space="preserve">95% confidence interval of the Difference </w:t>
            </w:r>
          </w:p>
        </w:tc>
        <w:tc>
          <w:tcPr>
            <w:tcW w:w="923" w:type="dxa"/>
          </w:tcPr>
          <w:p>
            <w:pPr>
              <w:tabs>
                <w:tab w:val="left" w:pos="2610"/>
              </w:tabs>
              <w:spacing w:after="0" w:line="480" w:lineRule="auto"/>
              <w:rPr>
                <w:rFonts w:ascii="Times New Roman" w:hAnsi="Times New Roman" w:cs="Times New Roman"/>
                <w:sz w:val="20"/>
                <w:szCs w:val="20"/>
              </w:rPr>
            </w:pPr>
            <w:r>
              <w:rPr>
                <w:rFonts w:ascii="Times New Roman" w:hAnsi="Times New Roman" w:cs="Times New Roman"/>
                <w:sz w:val="20"/>
                <w:szCs w:val="20"/>
              </w:rPr>
              <w:t>t</w:t>
            </w:r>
          </w:p>
        </w:tc>
        <w:tc>
          <w:tcPr>
            <w:tcW w:w="540" w:type="dxa"/>
          </w:tcPr>
          <w:p>
            <w:pPr>
              <w:tabs>
                <w:tab w:val="left" w:pos="2610"/>
              </w:tabs>
              <w:spacing w:after="0" w:line="480" w:lineRule="auto"/>
              <w:rPr>
                <w:rFonts w:ascii="Times New Roman" w:hAnsi="Times New Roman" w:cs="Times New Roman"/>
                <w:sz w:val="20"/>
                <w:szCs w:val="20"/>
              </w:rPr>
            </w:pPr>
            <w:r>
              <w:rPr>
                <w:rFonts w:ascii="Times New Roman" w:hAnsi="Times New Roman" w:cs="Times New Roman"/>
                <w:sz w:val="20"/>
                <w:szCs w:val="20"/>
              </w:rPr>
              <w:t>df</w:t>
            </w:r>
          </w:p>
        </w:tc>
        <w:tc>
          <w:tcPr>
            <w:tcW w:w="1530" w:type="dxa"/>
          </w:tcPr>
          <w:p>
            <w:pPr>
              <w:tabs>
                <w:tab w:val="left" w:pos="2610"/>
              </w:tabs>
              <w:spacing w:after="0" w:line="480" w:lineRule="auto"/>
              <w:rPr>
                <w:rFonts w:ascii="Times New Roman" w:hAnsi="Times New Roman" w:cs="Times New Roman"/>
                <w:sz w:val="20"/>
                <w:szCs w:val="20"/>
              </w:rPr>
            </w:pPr>
            <w:r>
              <w:rPr>
                <w:rFonts w:ascii="Times New Roman" w:hAnsi="Times New Roman" w:cs="Times New Roman"/>
                <w:sz w:val="20"/>
                <w:szCs w:val="20"/>
              </w:rPr>
              <w:t>Sig.(2-tailed)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vMerge w:val="restart"/>
          </w:tcPr>
          <w:p>
            <w:pPr>
              <w:tabs>
                <w:tab w:val="left" w:pos="2610"/>
              </w:tabs>
              <w:spacing w:after="0" w:line="480" w:lineRule="auto"/>
              <w:rPr>
                <w:rFonts w:ascii="Times New Roman" w:hAnsi="Times New Roman" w:cs="Times New Roman"/>
                <w:sz w:val="20"/>
                <w:szCs w:val="20"/>
              </w:rPr>
            </w:pPr>
            <w:r>
              <w:rPr>
                <w:rFonts w:ascii="Times New Roman" w:hAnsi="Times New Roman" w:cs="Times New Roman"/>
                <w:sz w:val="20"/>
                <w:szCs w:val="20"/>
              </w:rPr>
              <w:t>Pair 1</w:t>
            </w:r>
          </w:p>
          <w:p>
            <w:pPr>
              <w:tabs>
                <w:tab w:val="left" w:pos="2610"/>
              </w:tabs>
              <w:spacing w:after="0" w:line="480" w:lineRule="auto"/>
              <w:rPr>
                <w:rFonts w:ascii="Times New Roman" w:hAnsi="Times New Roman" w:cs="Times New Roman"/>
                <w:sz w:val="20"/>
                <w:szCs w:val="20"/>
              </w:rPr>
            </w:pPr>
            <w:r>
              <w:rPr>
                <w:rFonts w:ascii="Times New Roman" w:hAnsi="Times New Roman" w:cs="Times New Roman"/>
                <w:sz w:val="20"/>
                <w:szCs w:val="20"/>
              </w:rPr>
              <w:t>Pretest &amp; post-test knowledge</w:t>
            </w:r>
          </w:p>
        </w:tc>
        <w:tc>
          <w:tcPr>
            <w:tcW w:w="1010" w:type="dxa"/>
            <w:vMerge w:val="restart"/>
          </w:tcPr>
          <w:p>
            <w:pPr>
              <w:tabs>
                <w:tab w:val="left" w:pos="2610"/>
              </w:tabs>
              <w:spacing w:after="0" w:line="480" w:lineRule="auto"/>
              <w:rPr>
                <w:rFonts w:ascii="Times New Roman" w:hAnsi="Times New Roman" w:cs="Times New Roman"/>
                <w:sz w:val="20"/>
                <w:szCs w:val="20"/>
              </w:rPr>
            </w:pPr>
            <w:r>
              <w:rPr>
                <w:rFonts w:ascii="Times New Roman" w:hAnsi="Times New Roman" w:cs="Times New Roman"/>
                <w:sz w:val="20"/>
                <w:szCs w:val="20"/>
              </w:rPr>
              <w:t>-10.933</w:t>
            </w:r>
          </w:p>
        </w:tc>
        <w:tc>
          <w:tcPr>
            <w:tcW w:w="1203" w:type="dxa"/>
            <w:vMerge w:val="restart"/>
          </w:tcPr>
          <w:p>
            <w:pPr>
              <w:tabs>
                <w:tab w:val="left" w:pos="2610"/>
              </w:tabs>
              <w:spacing w:after="0" w:line="480" w:lineRule="auto"/>
              <w:rPr>
                <w:rFonts w:ascii="Times New Roman" w:hAnsi="Times New Roman" w:cs="Times New Roman"/>
                <w:sz w:val="20"/>
                <w:szCs w:val="20"/>
              </w:rPr>
            </w:pPr>
            <w:r>
              <w:rPr>
                <w:rFonts w:ascii="Times New Roman" w:hAnsi="Times New Roman" w:cs="Times New Roman"/>
                <w:sz w:val="20"/>
                <w:szCs w:val="20"/>
              </w:rPr>
              <w:t>11.324</w:t>
            </w:r>
          </w:p>
        </w:tc>
        <w:tc>
          <w:tcPr>
            <w:tcW w:w="891" w:type="dxa"/>
            <w:vMerge w:val="restart"/>
          </w:tcPr>
          <w:p>
            <w:pPr>
              <w:tabs>
                <w:tab w:val="left" w:pos="2610"/>
              </w:tabs>
              <w:spacing w:after="0" w:line="480" w:lineRule="auto"/>
              <w:rPr>
                <w:rFonts w:ascii="Times New Roman" w:hAnsi="Times New Roman" w:cs="Times New Roman"/>
                <w:sz w:val="20"/>
                <w:szCs w:val="20"/>
              </w:rPr>
            </w:pPr>
            <w:r>
              <w:rPr>
                <w:rFonts w:ascii="Times New Roman" w:hAnsi="Times New Roman" w:cs="Times New Roman"/>
                <w:sz w:val="20"/>
                <w:szCs w:val="20"/>
              </w:rPr>
              <w:t>1.462</w:t>
            </w:r>
          </w:p>
        </w:tc>
        <w:tc>
          <w:tcPr>
            <w:tcW w:w="1324" w:type="dxa"/>
          </w:tcPr>
          <w:p>
            <w:pPr>
              <w:tabs>
                <w:tab w:val="left" w:pos="2610"/>
              </w:tabs>
              <w:spacing w:after="0" w:line="480" w:lineRule="auto"/>
              <w:rPr>
                <w:rFonts w:ascii="Times New Roman" w:hAnsi="Times New Roman" w:cs="Times New Roman"/>
                <w:sz w:val="20"/>
                <w:szCs w:val="20"/>
              </w:rPr>
            </w:pPr>
            <w:r>
              <w:rPr>
                <w:rFonts w:ascii="Times New Roman" w:hAnsi="Times New Roman" w:cs="Times New Roman"/>
                <w:sz w:val="20"/>
                <w:szCs w:val="20"/>
              </w:rPr>
              <w:t>lower</w:t>
            </w:r>
          </w:p>
        </w:tc>
        <w:tc>
          <w:tcPr>
            <w:tcW w:w="1074" w:type="dxa"/>
          </w:tcPr>
          <w:p>
            <w:pPr>
              <w:tabs>
                <w:tab w:val="left" w:pos="2610"/>
              </w:tabs>
              <w:spacing w:after="0" w:line="480" w:lineRule="auto"/>
              <w:rPr>
                <w:rFonts w:ascii="Times New Roman" w:hAnsi="Times New Roman" w:cs="Times New Roman"/>
                <w:sz w:val="20"/>
                <w:szCs w:val="20"/>
              </w:rPr>
            </w:pPr>
            <w:r>
              <w:rPr>
                <w:rFonts w:ascii="Times New Roman" w:hAnsi="Times New Roman" w:cs="Times New Roman"/>
                <w:sz w:val="20"/>
                <w:szCs w:val="20"/>
              </w:rPr>
              <w:t>upper</w:t>
            </w:r>
          </w:p>
        </w:tc>
        <w:tc>
          <w:tcPr>
            <w:tcW w:w="923" w:type="dxa"/>
            <w:vMerge w:val="restart"/>
          </w:tcPr>
          <w:p>
            <w:pPr>
              <w:tabs>
                <w:tab w:val="left" w:pos="2610"/>
              </w:tabs>
              <w:spacing w:after="0" w:line="480" w:lineRule="auto"/>
              <w:rPr>
                <w:rFonts w:ascii="Times New Roman" w:hAnsi="Times New Roman" w:cs="Times New Roman"/>
                <w:sz w:val="20"/>
                <w:szCs w:val="20"/>
              </w:rPr>
            </w:pPr>
            <w:bookmarkStart w:id="228" w:name="_Hlk116423148"/>
            <w:r>
              <w:rPr>
                <w:rFonts w:ascii="Times New Roman" w:hAnsi="Times New Roman" w:cs="Times New Roman"/>
                <w:sz w:val="20"/>
                <w:szCs w:val="20"/>
              </w:rPr>
              <w:t>-7.479</w:t>
            </w:r>
            <w:bookmarkEnd w:id="228"/>
          </w:p>
        </w:tc>
        <w:tc>
          <w:tcPr>
            <w:tcW w:w="540" w:type="dxa"/>
            <w:vMerge w:val="restart"/>
          </w:tcPr>
          <w:p>
            <w:pPr>
              <w:tabs>
                <w:tab w:val="left" w:pos="2610"/>
              </w:tabs>
              <w:spacing w:after="0" w:line="480" w:lineRule="auto"/>
              <w:rPr>
                <w:rFonts w:ascii="Times New Roman" w:hAnsi="Times New Roman" w:cs="Times New Roman"/>
                <w:sz w:val="20"/>
                <w:szCs w:val="20"/>
              </w:rPr>
            </w:pPr>
            <w:r>
              <w:rPr>
                <w:rFonts w:ascii="Times New Roman" w:hAnsi="Times New Roman" w:cs="Times New Roman"/>
                <w:sz w:val="20"/>
                <w:szCs w:val="20"/>
              </w:rPr>
              <w:t>59</w:t>
            </w:r>
          </w:p>
        </w:tc>
        <w:tc>
          <w:tcPr>
            <w:tcW w:w="1530" w:type="dxa"/>
            <w:vMerge w:val="restart"/>
          </w:tcPr>
          <w:p>
            <w:pPr>
              <w:tabs>
                <w:tab w:val="left" w:pos="2610"/>
              </w:tabs>
              <w:spacing w:after="0" w:line="480" w:lineRule="auto"/>
              <w:rPr>
                <w:rFonts w:ascii="Times New Roman" w:hAnsi="Times New Roman" w:cs="Times New Roman"/>
                <w:sz w:val="20"/>
                <w:szCs w:val="20"/>
              </w:rPr>
            </w:pPr>
            <w:r>
              <w:rPr>
                <w:rFonts w:ascii="Times New Roman" w:hAnsi="Times New Roman" w:cs="Times New Roman"/>
                <w:sz w:val="20"/>
                <w:szCs w:val="20"/>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vMerge w:val="continue"/>
          </w:tcPr>
          <w:p>
            <w:pPr>
              <w:tabs>
                <w:tab w:val="left" w:pos="2610"/>
              </w:tabs>
              <w:spacing w:after="0" w:line="480" w:lineRule="auto"/>
              <w:rPr>
                <w:rFonts w:ascii="Times New Roman" w:hAnsi="Times New Roman" w:cs="Times New Roman"/>
                <w:b/>
                <w:bCs/>
                <w:sz w:val="24"/>
                <w:szCs w:val="24"/>
              </w:rPr>
            </w:pPr>
          </w:p>
        </w:tc>
        <w:tc>
          <w:tcPr>
            <w:tcW w:w="1010" w:type="dxa"/>
            <w:vMerge w:val="continue"/>
          </w:tcPr>
          <w:p>
            <w:pPr>
              <w:tabs>
                <w:tab w:val="left" w:pos="2610"/>
              </w:tabs>
              <w:spacing w:after="0" w:line="480" w:lineRule="auto"/>
              <w:rPr>
                <w:rFonts w:ascii="Times New Roman" w:hAnsi="Times New Roman" w:cs="Times New Roman"/>
                <w:b/>
                <w:bCs/>
                <w:sz w:val="24"/>
                <w:szCs w:val="24"/>
              </w:rPr>
            </w:pPr>
          </w:p>
        </w:tc>
        <w:tc>
          <w:tcPr>
            <w:tcW w:w="1203" w:type="dxa"/>
            <w:vMerge w:val="continue"/>
          </w:tcPr>
          <w:p>
            <w:pPr>
              <w:tabs>
                <w:tab w:val="left" w:pos="2610"/>
              </w:tabs>
              <w:spacing w:after="0" w:line="480" w:lineRule="auto"/>
              <w:rPr>
                <w:rFonts w:ascii="Times New Roman" w:hAnsi="Times New Roman" w:cs="Times New Roman"/>
                <w:b/>
                <w:bCs/>
                <w:sz w:val="24"/>
                <w:szCs w:val="24"/>
              </w:rPr>
            </w:pPr>
          </w:p>
        </w:tc>
        <w:tc>
          <w:tcPr>
            <w:tcW w:w="891" w:type="dxa"/>
            <w:vMerge w:val="continue"/>
          </w:tcPr>
          <w:p>
            <w:pPr>
              <w:tabs>
                <w:tab w:val="left" w:pos="2610"/>
              </w:tabs>
              <w:spacing w:after="0" w:line="480" w:lineRule="auto"/>
              <w:rPr>
                <w:rFonts w:ascii="Times New Roman" w:hAnsi="Times New Roman" w:cs="Times New Roman"/>
                <w:b/>
                <w:bCs/>
                <w:sz w:val="24"/>
                <w:szCs w:val="24"/>
              </w:rPr>
            </w:pPr>
          </w:p>
        </w:tc>
        <w:tc>
          <w:tcPr>
            <w:tcW w:w="1324" w:type="dxa"/>
          </w:tcPr>
          <w:p>
            <w:pPr>
              <w:tabs>
                <w:tab w:val="left" w:pos="2610"/>
              </w:tabs>
              <w:spacing w:after="0" w:line="480" w:lineRule="auto"/>
              <w:rPr>
                <w:rFonts w:ascii="Times New Roman" w:hAnsi="Times New Roman" w:cs="Times New Roman"/>
                <w:sz w:val="24"/>
                <w:szCs w:val="24"/>
              </w:rPr>
            </w:pPr>
            <w:r>
              <w:rPr>
                <w:rFonts w:ascii="Times New Roman" w:hAnsi="Times New Roman" w:cs="Times New Roman"/>
                <w:sz w:val="24"/>
                <w:szCs w:val="24"/>
              </w:rPr>
              <w:t>-13.859</w:t>
            </w:r>
          </w:p>
        </w:tc>
        <w:tc>
          <w:tcPr>
            <w:tcW w:w="1074" w:type="dxa"/>
          </w:tcPr>
          <w:p>
            <w:pPr>
              <w:tabs>
                <w:tab w:val="left" w:pos="2610"/>
              </w:tabs>
              <w:spacing w:after="0" w:line="480" w:lineRule="auto"/>
              <w:rPr>
                <w:rFonts w:ascii="Times New Roman" w:hAnsi="Times New Roman" w:cs="Times New Roman"/>
                <w:sz w:val="24"/>
                <w:szCs w:val="24"/>
              </w:rPr>
            </w:pPr>
            <w:r>
              <w:rPr>
                <w:rFonts w:ascii="Times New Roman" w:hAnsi="Times New Roman" w:cs="Times New Roman"/>
                <w:sz w:val="24"/>
                <w:szCs w:val="24"/>
              </w:rPr>
              <w:t>-8.008</w:t>
            </w:r>
          </w:p>
        </w:tc>
        <w:tc>
          <w:tcPr>
            <w:tcW w:w="923" w:type="dxa"/>
            <w:vMerge w:val="continue"/>
          </w:tcPr>
          <w:p>
            <w:pPr>
              <w:tabs>
                <w:tab w:val="left" w:pos="2610"/>
              </w:tabs>
              <w:spacing w:after="0" w:line="480" w:lineRule="auto"/>
              <w:rPr>
                <w:rFonts w:ascii="Times New Roman" w:hAnsi="Times New Roman" w:cs="Times New Roman"/>
                <w:b/>
                <w:bCs/>
                <w:sz w:val="24"/>
                <w:szCs w:val="24"/>
              </w:rPr>
            </w:pPr>
          </w:p>
        </w:tc>
        <w:tc>
          <w:tcPr>
            <w:tcW w:w="540" w:type="dxa"/>
            <w:vMerge w:val="continue"/>
          </w:tcPr>
          <w:p>
            <w:pPr>
              <w:tabs>
                <w:tab w:val="left" w:pos="2610"/>
              </w:tabs>
              <w:spacing w:after="0" w:line="480" w:lineRule="auto"/>
              <w:rPr>
                <w:rFonts w:ascii="Times New Roman" w:hAnsi="Times New Roman" w:cs="Times New Roman"/>
                <w:b/>
                <w:bCs/>
                <w:sz w:val="24"/>
                <w:szCs w:val="24"/>
              </w:rPr>
            </w:pPr>
          </w:p>
        </w:tc>
        <w:tc>
          <w:tcPr>
            <w:tcW w:w="1530" w:type="dxa"/>
            <w:vMerge w:val="continue"/>
          </w:tcPr>
          <w:p>
            <w:pPr>
              <w:tabs>
                <w:tab w:val="left" w:pos="2610"/>
              </w:tabs>
              <w:spacing w:after="0" w:line="480" w:lineRule="auto"/>
              <w:rPr>
                <w:rFonts w:ascii="Times New Roman" w:hAnsi="Times New Roman" w:cs="Times New Roman"/>
                <w:b/>
                <w:bCs/>
                <w:sz w:val="24"/>
                <w:szCs w:val="24"/>
              </w:rPr>
            </w:pPr>
          </w:p>
        </w:tc>
      </w:tr>
    </w:tbl>
    <w:p>
      <w:pPr>
        <w:tabs>
          <w:tab w:val="left" w:pos="2610"/>
        </w:tabs>
        <w:spacing w:line="480" w:lineRule="auto"/>
        <w:ind w:firstLine="720"/>
        <w:rPr>
          <w:rFonts w:ascii="Times New Roman" w:hAnsi="Times New Roman" w:cs="Times New Roman"/>
          <w:b/>
          <w:bCs/>
          <w:sz w:val="24"/>
          <w:szCs w:val="24"/>
        </w:rPr>
      </w:pPr>
    </w:p>
    <w:p>
      <w:pPr>
        <w:tabs>
          <w:tab w:val="left" w:pos="2610"/>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Table 13 shows that after conducting a paired t-test to compare the pretest and post-test attitude totals a statistically significant difference was noticed in postoperative pain management. The pretest attitude (M = 60.72, SD=7.095) and the posttest (M=71.65.SD= 7.688), t =-7.479, dt= 59, p=.000.  The results suggest that the teaching intervention improved the nurse’s attitude towards post-operative pain management.</w:t>
      </w:r>
    </w:p>
    <w:p>
      <w:pPr>
        <w:keepNext/>
        <w:keepLines/>
        <w:spacing w:before="40" w:after="0" w:line="480" w:lineRule="auto"/>
        <w:outlineLvl w:val="1"/>
        <w:rPr>
          <w:rFonts w:ascii="Times New Roman" w:hAnsi="Times New Roman" w:cs="Times New Roman" w:eastAsiaTheme="majorEastAsia"/>
          <w:b/>
          <w:color w:val="000000" w:themeColor="text1"/>
          <w:sz w:val="24"/>
          <w:szCs w:val="24"/>
          <w14:textFill>
            <w14:solidFill>
              <w14:schemeClr w14:val="tx1"/>
            </w14:solidFill>
          </w14:textFill>
        </w:rPr>
      </w:pPr>
      <w:r>
        <w:rPr>
          <w:rFonts w:ascii="Times New Roman" w:hAnsi="Times New Roman" w:cs="Times New Roman" w:eastAsiaTheme="majorEastAsia"/>
          <w:b/>
          <w:color w:val="000000" w:themeColor="text1"/>
          <w:sz w:val="24"/>
          <w:szCs w:val="24"/>
          <w14:textFill>
            <w14:solidFill>
              <w14:schemeClr w14:val="tx1"/>
            </w14:solidFill>
          </w14:textFill>
        </w:rPr>
        <w:t>The Practice towards Post Operative Pain Management.</w:t>
      </w:r>
    </w:p>
    <w:p>
      <w:pPr>
        <w:pStyle w:val="9"/>
        <w:tabs>
          <w:tab w:val="left" w:pos="2610"/>
        </w:tabs>
        <w:spacing w:line="480" w:lineRule="auto"/>
        <w:ind w:firstLine="720"/>
        <w:jc w:val="both"/>
      </w:pPr>
      <w:r>
        <w:rPr>
          <w:rFonts w:ascii="Times New Roman" w:hAnsi="Times New Roman" w:cs="Times New Roman"/>
          <w:i w:val="0"/>
          <w:iCs w:val="0"/>
          <w:color w:val="auto"/>
          <w:sz w:val="24"/>
          <w:szCs w:val="24"/>
        </w:rPr>
        <w:t xml:space="preserve">The respondents were pre-intervention assessed on the surgical ward's post-operative pain management practice using a checklist.  The researcher was interested in learning if they were measuring post-operative discomfort and, if so, how. The research used a 14-item structured questionnaire to evaluate the practice prior to the educational intervention. </w:t>
      </w:r>
      <w:r>
        <w:rPr>
          <w:rFonts w:ascii="Times New Roman" w:hAnsi="Times New Roman" w:cs="Times New Roman"/>
          <w:bCs/>
          <w:i w:val="0"/>
          <w:iCs w:val="0"/>
          <w:color w:val="auto"/>
          <w:sz w:val="24"/>
          <w:szCs w:val="24"/>
        </w:rPr>
        <w:t xml:space="preserve">The questions were worded so that the researcher may respond by checking the appropriate box when something was done or not done. The words "done" and "not done" indicated whether something had been completed correctly or not. Table 14 displays the results. </w:t>
      </w:r>
    </w:p>
    <w:p/>
    <w:p/>
    <w:p/>
    <w:p/>
    <w:p/>
    <w:p/>
    <w:p/>
    <w:p/>
    <w:p/>
    <w:p/>
    <w:p/>
    <w:p>
      <w:pPr>
        <w:pStyle w:val="9"/>
        <w:keepNext/>
        <w:rPr>
          <w:rFonts w:ascii="Times New Roman" w:hAnsi="Times New Roman" w:cs="Times New Roman"/>
          <w:sz w:val="22"/>
          <w:szCs w:val="22"/>
        </w:rPr>
      </w:pPr>
      <w:bookmarkStart w:id="229" w:name="_Hlk143205181"/>
      <w:r>
        <w:rPr>
          <w:rFonts w:ascii="Times New Roman" w:hAnsi="Times New Roman" w:cs="Times New Roman"/>
          <w:sz w:val="22"/>
          <w:szCs w:val="22"/>
        </w:rPr>
        <w:t>Table 14: Pretest regarding post operative pain management practice.</w:t>
      </w:r>
    </w:p>
    <w:tbl>
      <w:tblPr>
        <w:tblStyle w:val="19"/>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5"/>
        <w:gridCol w:w="1006"/>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autoSpaceDE w:val="0"/>
              <w:autoSpaceDN w:val="0"/>
              <w:adjustRightInd w:val="0"/>
              <w:spacing w:after="0" w:line="36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xml:space="preserve">Activities during pain assessment and management </w:t>
            </w:r>
          </w:p>
        </w:tc>
        <w:tc>
          <w:tcPr>
            <w:tcW w:w="1006" w:type="dxa"/>
          </w:tcPr>
          <w:p>
            <w:pPr>
              <w:autoSpaceDE w:val="0"/>
              <w:autoSpaceDN w:val="0"/>
              <w:adjustRightInd w:val="0"/>
              <w:spacing w:after="0" w:line="360" w:lineRule="auto"/>
              <w:rPr>
                <w:rFonts w:ascii="Times New Roman" w:hAnsi="Times New Roman" w:eastAsia="MS Mincho" w:cs="Times New Roman"/>
                <w:sz w:val="20"/>
                <w:szCs w:val="20"/>
              </w:rPr>
            </w:pPr>
            <w:r>
              <w:rPr>
                <w:rFonts w:ascii="Times New Roman" w:hAnsi="Times New Roman" w:eastAsia="MS Mincho" w:cs="Times New Roman"/>
                <w:sz w:val="20"/>
                <w:szCs w:val="20"/>
              </w:rPr>
              <w:t>f</w:t>
            </w:r>
          </w:p>
        </w:tc>
        <w:tc>
          <w:tcPr>
            <w:tcW w:w="1154" w:type="dxa"/>
          </w:tcPr>
          <w:p>
            <w:pPr>
              <w:autoSpaceDE w:val="0"/>
              <w:autoSpaceDN w:val="0"/>
              <w:adjustRightInd w:val="0"/>
              <w:spacing w:after="0" w:line="360" w:lineRule="auto"/>
              <w:rPr>
                <w:rFonts w:ascii="Times New Roman" w:hAnsi="Times New Roman" w:eastAsia="MS Mincho" w:cs="Times New Roman"/>
                <w:sz w:val="20"/>
                <w:szCs w:val="20"/>
              </w:rPr>
            </w:pPr>
            <w:r>
              <w:rPr>
                <w:rFonts w:ascii="Times New Roman" w:hAnsi="Times New Roman" w:eastAsia="MS Mincho"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numPr>
                <w:ilvl w:val="0"/>
                <w:numId w:val="11"/>
              </w:numPr>
              <w:autoSpaceDE w:val="0"/>
              <w:autoSpaceDN w:val="0"/>
              <w:adjustRightInd w:val="0"/>
              <w:spacing w:after="0" w:line="240" w:lineRule="auto"/>
              <w:contextualSpacing/>
              <w:rPr>
                <w:rFonts w:ascii="Times New Roman" w:hAnsi="Times New Roman" w:eastAsia="MS Mincho" w:cs="Times New Roman"/>
                <w:sz w:val="20"/>
                <w:szCs w:val="20"/>
                <w:lang w:eastAsia="ja-JP"/>
              </w:rPr>
            </w:pPr>
            <w:r>
              <w:rPr>
                <w:rFonts w:ascii="Times New Roman" w:hAnsi="Times New Roman" w:eastAsia="Times New Roman" w:cs="Times New Roman"/>
                <w:color w:val="000000"/>
                <w:sz w:val="20"/>
                <w:szCs w:val="20"/>
                <w:lang w:eastAsia="ja-JP"/>
              </w:rPr>
              <w:t>Provides direct nursing care to POP patients.</w:t>
            </w:r>
          </w:p>
          <w:p>
            <w:pPr>
              <w:autoSpaceDE w:val="0"/>
              <w:autoSpaceDN w:val="0"/>
              <w:adjustRightInd w:val="0"/>
              <w:spacing w:after="0" w:line="240" w:lineRule="auto"/>
              <w:ind w:left="360"/>
              <w:contextualSpacing/>
              <w:rPr>
                <w:rFonts w:ascii="Times New Roman" w:hAnsi="Times New Roman" w:eastAsia="Times New Roman" w:cs="Times New Roman"/>
                <w:color w:val="000000"/>
                <w:sz w:val="20"/>
                <w:szCs w:val="20"/>
                <w:lang w:eastAsia="ja-JP"/>
              </w:rPr>
            </w:pPr>
            <w:r>
              <w:rPr>
                <w:rFonts w:ascii="Times New Roman" w:hAnsi="Times New Roman" w:eastAsia="Times New Roman" w:cs="Times New Roman"/>
                <w:color w:val="000000"/>
                <w:sz w:val="20"/>
                <w:szCs w:val="20"/>
                <w:lang w:eastAsia="ja-JP"/>
              </w:rPr>
              <w:t xml:space="preserve">Done </w:t>
            </w:r>
          </w:p>
          <w:p>
            <w:pPr>
              <w:autoSpaceDE w:val="0"/>
              <w:autoSpaceDN w:val="0"/>
              <w:adjustRightInd w:val="0"/>
              <w:spacing w:after="0" w:line="240" w:lineRule="auto"/>
              <w:ind w:left="360"/>
              <w:contextualSpacing/>
              <w:rPr>
                <w:rFonts w:ascii="Times New Roman" w:hAnsi="Times New Roman" w:eastAsia="MS Mincho" w:cs="Times New Roman"/>
                <w:sz w:val="20"/>
                <w:szCs w:val="20"/>
                <w:lang w:eastAsia="ja-JP"/>
              </w:rPr>
            </w:pPr>
            <w:r>
              <w:rPr>
                <w:rFonts w:ascii="Times New Roman" w:hAnsi="Times New Roman" w:eastAsia="Times New Roman" w:cs="Times New Roman"/>
                <w:color w:val="000000"/>
                <w:sz w:val="20"/>
                <w:szCs w:val="20"/>
                <w:lang w:eastAsia="ja-JP"/>
              </w:rPr>
              <w:t xml:space="preserve">Not done </w:t>
            </w:r>
          </w:p>
        </w:tc>
        <w:tc>
          <w:tcPr>
            <w:tcW w:w="1006"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25</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35</w:t>
            </w:r>
          </w:p>
        </w:tc>
        <w:tc>
          <w:tcPr>
            <w:tcW w:w="1154"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41.6</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015" w:type="dxa"/>
          </w:tcPr>
          <w:p>
            <w:pPr>
              <w:numPr>
                <w:ilvl w:val="0"/>
                <w:numId w:val="11"/>
              </w:numPr>
              <w:autoSpaceDE w:val="0"/>
              <w:autoSpaceDN w:val="0"/>
              <w:adjustRightInd w:val="0"/>
              <w:spacing w:after="0" w:line="240" w:lineRule="auto"/>
              <w:contextualSpacing/>
              <w:rPr>
                <w:rFonts w:ascii="Times New Roman" w:hAnsi="Times New Roman" w:eastAsia="MS Mincho" w:cs="Times New Roman"/>
                <w:sz w:val="20"/>
                <w:szCs w:val="20"/>
                <w:lang w:eastAsia="ja-JP"/>
              </w:rPr>
            </w:pPr>
            <w:bookmarkStart w:id="230" w:name="_Hlk143809314"/>
            <w:bookmarkStart w:id="231" w:name="_Hlk143203137"/>
            <w:r>
              <w:rPr>
                <w:rFonts w:ascii="Times New Roman" w:hAnsi="Times New Roman" w:eastAsia="Times New Roman" w:cs="Times New Roman"/>
                <w:color w:val="000000"/>
                <w:sz w:val="20"/>
                <w:szCs w:val="20"/>
                <w:lang w:eastAsia="ja-JP"/>
              </w:rPr>
              <w:t>Assesses for pain intensity for patient who couldn’t  communicate</w:t>
            </w:r>
            <w:bookmarkEnd w:id="230"/>
            <w:r>
              <w:rPr>
                <w:rFonts w:ascii="Times New Roman" w:hAnsi="Times New Roman" w:eastAsia="Times New Roman" w:cs="Times New Roman"/>
                <w:color w:val="000000"/>
                <w:sz w:val="20"/>
                <w:szCs w:val="20"/>
                <w:lang w:eastAsia="ja-JP"/>
              </w:rPr>
              <w:t>.</w:t>
            </w:r>
          </w:p>
          <w:bookmarkEnd w:id="231"/>
          <w:p>
            <w:pPr>
              <w:autoSpaceDE w:val="0"/>
              <w:autoSpaceDN w:val="0"/>
              <w:adjustRightInd w:val="0"/>
              <w:spacing w:after="0" w:line="240" w:lineRule="auto"/>
              <w:ind w:left="360"/>
              <w:contextualSpacing/>
              <w:rPr>
                <w:rFonts w:ascii="Times New Roman" w:hAnsi="Times New Roman" w:eastAsia="Times New Roman" w:cs="Times New Roman"/>
                <w:color w:val="000000"/>
                <w:sz w:val="20"/>
                <w:szCs w:val="20"/>
                <w:lang w:eastAsia="ja-JP"/>
              </w:rPr>
            </w:pPr>
            <w:r>
              <w:rPr>
                <w:rFonts w:ascii="Times New Roman" w:hAnsi="Times New Roman" w:eastAsia="Times New Roman" w:cs="Times New Roman"/>
                <w:color w:val="000000"/>
                <w:sz w:val="20"/>
                <w:szCs w:val="20"/>
                <w:lang w:eastAsia="ja-JP"/>
              </w:rPr>
              <w:t xml:space="preserve">Done </w:t>
            </w:r>
          </w:p>
          <w:p>
            <w:pPr>
              <w:autoSpaceDE w:val="0"/>
              <w:autoSpaceDN w:val="0"/>
              <w:adjustRightInd w:val="0"/>
              <w:spacing w:after="0" w:line="240" w:lineRule="auto"/>
              <w:ind w:left="360"/>
              <w:contextualSpacing/>
              <w:rPr>
                <w:rFonts w:ascii="Times New Roman" w:hAnsi="Times New Roman" w:eastAsia="MS Mincho" w:cs="Times New Roman"/>
                <w:sz w:val="20"/>
                <w:szCs w:val="20"/>
                <w:lang w:eastAsia="ja-JP"/>
              </w:rPr>
            </w:pPr>
            <w:r>
              <w:rPr>
                <w:rFonts w:ascii="Times New Roman" w:hAnsi="Times New Roman" w:eastAsia="Times New Roman" w:cs="Times New Roman"/>
                <w:color w:val="000000"/>
                <w:sz w:val="20"/>
                <w:szCs w:val="20"/>
                <w:lang w:eastAsia="ja-JP"/>
              </w:rPr>
              <w:t>Not done</w:t>
            </w:r>
          </w:p>
        </w:tc>
        <w:tc>
          <w:tcPr>
            <w:tcW w:w="1006"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0</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60</w:t>
            </w:r>
          </w:p>
        </w:tc>
        <w:tc>
          <w:tcPr>
            <w:tcW w:w="1154"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0</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numPr>
                <w:ilvl w:val="0"/>
                <w:numId w:val="11"/>
              </w:numPr>
              <w:autoSpaceDE w:val="0"/>
              <w:autoSpaceDN w:val="0"/>
              <w:adjustRightInd w:val="0"/>
              <w:spacing w:after="0" w:line="240" w:lineRule="auto"/>
              <w:contextualSpacing/>
              <w:rPr>
                <w:rFonts w:ascii="Times New Roman" w:hAnsi="Times New Roman" w:eastAsia="Times New Roman" w:cs="Times New Roman"/>
                <w:color w:val="000000"/>
                <w:sz w:val="20"/>
                <w:szCs w:val="20"/>
                <w:lang w:eastAsia="ja-JP"/>
              </w:rPr>
            </w:pPr>
            <w:r>
              <w:rPr>
                <w:rFonts w:ascii="Times New Roman" w:hAnsi="Times New Roman" w:eastAsia="Times New Roman" w:cs="Times New Roman"/>
                <w:color w:val="000000"/>
                <w:sz w:val="20"/>
                <w:szCs w:val="20"/>
                <w:lang w:eastAsia="ja-JP"/>
              </w:rPr>
              <w:t>Assesses pain using the PQRST.</w:t>
            </w:r>
          </w:p>
          <w:p>
            <w:pPr>
              <w:autoSpaceDE w:val="0"/>
              <w:autoSpaceDN w:val="0"/>
              <w:adjustRightInd w:val="0"/>
              <w:spacing w:after="0" w:line="240" w:lineRule="auto"/>
              <w:ind w:left="360"/>
              <w:contextualSpacing/>
              <w:rPr>
                <w:rFonts w:ascii="Times New Roman" w:hAnsi="Times New Roman" w:eastAsia="Times New Roman" w:cs="Times New Roman"/>
                <w:color w:val="000000"/>
                <w:sz w:val="20"/>
                <w:szCs w:val="20"/>
                <w:lang w:eastAsia="ja-JP"/>
              </w:rPr>
            </w:pPr>
            <w:r>
              <w:rPr>
                <w:rFonts w:ascii="Times New Roman" w:hAnsi="Times New Roman" w:eastAsia="Times New Roman" w:cs="Times New Roman"/>
                <w:color w:val="000000"/>
                <w:sz w:val="20"/>
                <w:szCs w:val="20"/>
                <w:lang w:eastAsia="ja-JP"/>
              </w:rPr>
              <w:t xml:space="preserve">Done </w:t>
            </w:r>
          </w:p>
          <w:p>
            <w:pPr>
              <w:autoSpaceDE w:val="0"/>
              <w:autoSpaceDN w:val="0"/>
              <w:adjustRightInd w:val="0"/>
              <w:spacing w:after="0" w:line="240" w:lineRule="auto"/>
              <w:ind w:left="360"/>
              <w:contextualSpacing/>
              <w:rPr>
                <w:rFonts w:ascii="Times New Roman" w:hAnsi="Times New Roman" w:eastAsia="Times New Roman" w:cs="Times New Roman"/>
                <w:color w:val="000000"/>
                <w:sz w:val="20"/>
                <w:szCs w:val="20"/>
                <w:lang w:eastAsia="ja-JP"/>
              </w:rPr>
            </w:pPr>
            <w:r>
              <w:rPr>
                <w:rFonts w:ascii="Times New Roman" w:hAnsi="Times New Roman" w:eastAsia="Times New Roman" w:cs="Times New Roman"/>
                <w:color w:val="000000"/>
                <w:sz w:val="20"/>
                <w:szCs w:val="20"/>
                <w:lang w:eastAsia="ja-JP"/>
              </w:rPr>
              <w:t>Not don</w:t>
            </w:r>
          </w:p>
        </w:tc>
        <w:tc>
          <w:tcPr>
            <w:tcW w:w="1006"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0</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60</w:t>
            </w:r>
          </w:p>
        </w:tc>
        <w:tc>
          <w:tcPr>
            <w:tcW w:w="1154"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0</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numPr>
                <w:ilvl w:val="0"/>
                <w:numId w:val="11"/>
              </w:numPr>
              <w:autoSpaceDE w:val="0"/>
              <w:autoSpaceDN w:val="0"/>
              <w:adjustRightInd w:val="0"/>
              <w:spacing w:after="0" w:line="240" w:lineRule="auto"/>
              <w:contextualSpacing/>
              <w:rPr>
                <w:rFonts w:ascii="Times New Roman" w:hAnsi="Times New Roman" w:eastAsia="MS Mincho" w:cs="Times New Roman"/>
                <w:sz w:val="20"/>
                <w:szCs w:val="20"/>
                <w:lang w:eastAsia="ja-JP"/>
              </w:rPr>
            </w:pPr>
            <w:r>
              <w:rPr>
                <w:rFonts w:ascii="Times New Roman" w:hAnsi="Times New Roman" w:eastAsia="Times New Roman" w:cs="Times New Roman"/>
                <w:color w:val="000000"/>
                <w:sz w:val="20"/>
                <w:szCs w:val="20"/>
                <w:lang w:eastAsia="ja-JP"/>
              </w:rPr>
              <w:t>Assesses pain using a pain assessment tool.</w:t>
            </w:r>
          </w:p>
          <w:p>
            <w:pPr>
              <w:autoSpaceDE w:val="0"/>
              <w:autoSpaceDN w:val="0"/>
              <w:adjustRightInd w:val="0"/>
              <w:spacing w:after="0" w:line="240" w:lineRule="auto"/>
              <w:ind w:left="360"/>
              <w:contextualSpacing/>
              <w:rPr>
                <w:rFonts w:ascii="Times New Roman" w:hAnsi="Times New Roman" w:eastAsia="Times New Roman" w:cs="Times New Roman"/>
                <w:color w:val="000000"/>
                <w:sz w:val="20"/>
                <w:szCs w:val="20"/>
                <w:lang w:eastAsia="ja-JP"/>
              </w:rPr>
            </w:pPr>
            <w:r>
              <w:rPr>
                <w:rFonts w:ascii="Times New Roman" w:hAnsi="Times New Roman" w:eastAsia="Times New Roman" w:cs="Times New Roman"/>
                <w:color w:val="000000"/>
                <w:sz w:val="20"/>
                <w:szCs w:val="20"/>
                <w:lang w:eastAsia="ja-JP"/>
              </w:rPr>
              <w:t xml:space="preserve">Done </w:t>
            </w:r>
          </w:p>
          <w:p>
            <w:pPr>
              <w:autoSpaceDE w:val="0"/>
              <w:autoSpaceDN w:val="0"/>
              <w:adjustRightInd w:val="0"/>
              <w:spacing w:after="0" w:line="240" w:lineRule="auto"/>
              <w:ind w:left="360"/>
              <w:contextualSpacing/>
              <w:rPr>
                <w:rFonts w:ascii="Times New Roman" w:hAnsi="Times New Roman" w:eastAsia="MS Mincho" w:cs="Times New Roman"/>
                <w:sz w:val="20"/>
                <w:szCs w:val="20"/>
                <w:lang w:eastAsia="ja-JP"/>
              </w:rPr>
            </w:pPr>
            <w:r>
              <w:rPr>
                <w:rFonts w:ascii="Times New Roman" w:hAnsi="Times New Roman" w:eastAsia="Times New Roman" w:cs="Times New Roman"/>
                <w:color w:val="000000"/>
                <w:sz w:val="20"/>
                <w:szCs w:val="20"/>
                <w:lang w:eastAsia="ja-JP"/>
              </w:rPr>
              <w:t>Not done</w:t>
            </w:r>
          </w:p>
        </w:tc>
        <w:tc>
          <w:tcPr>
            <w:tcW w:w="1006"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0</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60</w:t>
            </w:r>
          </w:p>
        </w:tc>
        <w:tc>
          <w:tcPr>
            <w:tcW w:w="1154"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0</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numPr>
                <w:ilvl w:val="0"/>
                <w:numId w:val="11"/>
              </w:numPr>
              <w:autoSpaceDE w:val="0"/>
              <w:autoSpaceDN w:val="0"/>
              <w:adjustRightInd w:val="0"/>
              <w:spacing w:after="0" w:line="240" w:lineRule="auto"/>
              <w:contextualSpacing/>
              <w:rPr>
                <w:rFonts w:ascii="Times New Roman" w:hAnsi="Times New Roman" w:eastAsia="MS Mincho" w:cs="Times New Roman"/>
                <w:sz w:val="20"/>
                <w:szCs w:val="20"/>
                <w:lang w:eastAsia="ja-JP"/>
              </w:rPr>
            </w:pPr>
            <w:r>
              <w:rPr>
                <w:rFonts w:ascii="Times New Roman" w:hAnsi="Times New Roman" w:eastAsia="Times New Roman" w:cs="Times New Roman"/>
                <w:color w:val="000000"/>
                <w:sz w:val="20"/>
                <w:szCs w:val="20"/>
                <w:lang w:eastAsia="ja-JP"/>
              </w:rPr>
              <w:t>Clearly documents pain assessment findings using a numeric rating scale.</w:t>
            </w:r>
          </w:p>
          <w:p>
            <w:pPr>
              <w:autoSpaceDE w:val="0"/>
              <w:autoSpaceDN w:val="0"/>
              <w:adjustRightInd w:val="0"/>
              <w:spacing w:after="0" w:line="240" w:lineRule="auto"/>
              <w:ind w:left="360"/>
              <w:contextualSpacing/>
              <w:rPr>
                <w:rFonts w:ascii="Times New Roman" w:hAnsi="Times New Roman" w:eastAsia="Times New Roman" w:cs="Times New Roman"/>
                <w:color w:val="000000"/>
                <w:sz w:val="20"/>
                <w:szCs w:val="20"/>
                <w:lang w:eastAsia="ja-JP"/>
              </w:rPr>
            </w:pPr>
            <w:r>
              <w:rPr>
                <w:rFonts w:ascii="Times New Roman" w:hAnsi="Times New Roman" w:eastAsia="Times New Roman" w:cs="Times New Roman"/>
                <w:color w:val="000000"/>
                <w:sz w:val="20"/>
                <w:szCs w:val="20"/>
                <w:lang w:eastAsia="ja-JP"/>
              </w:rPr>
              <w:t xml:space="preserve">Done </w:t>
            </w:r>
          </w:p>
          <w:p>
            <w:pPr>
              <w:autoSpaceDE w:val="0"/>
              <w:autoSpaceDN w:val="0"/>
              <w:adjustRightInd w:val="0"/>
              <w:spacing w:after="0" w:line="240" w:lineRule="auto"/>
              <w:ind w:left="360"/>
              <w:contextualSpacing/>
              <w:rPr>
                <w:rFonts w:ascii="Times New Roman" w:hAnsi="Times New Roman" w:eastAsia="MS Mincho" w:cs="Times New Roman"/>
                <w:sz w:val="20"/>
                <w:szCs w:val="20"/>
                <w:lang w:eastAsia="ja-JP"/>
              </w:rPr>
            </w:pPr>
            <w:r>
              <w:rPr>
                <w:rFonts w:ascii="Times New Roman" w:hAnsi="Times New Roman" w:eastAsia="Times New Roman" w:cs="Times New Roman"/>
                <w:color w:val="000000"/>
                <w:sz w:val="20"/>
                <w:szCs w:val="20"/>
                <w:lang w:eastAsia="ja-JP"/>
              </w:rPr>
              <w:t>Not done</w:t>
            </w:r>
          </w:p>
        </w:tc>
        <w:tc>
          <w:tcPr>
            <w:tcW w:w="1006"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0</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60</w:t>
            </w:r>
          </w:p>
        </w:tc>
        <w:tc>
          <w:tcPr>
            <w:tcW w:w="1154"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0</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numPr>
                <w:ilvl w:val="0"/>
                <w:numId w:val="11"/>
              </w:numPr>
              <w:autoSpaceDE w:val="0"/>
              <w:autoSpaceDN w:val="0"/>
              <w:adjustRightInd w:val="0"/>
              <w:spacing w:after="0" w:line="240" w:lineRule="auto"/>
              <w:contextualSpacing/>
              <w:rPr>
                <w:rFonts w:ascii="Times New Roman" w:hAnsi="Times New Roman" w:eastAsia="MS Mincho" w:cs="Times New Roman"/>
                <w:sz w:val="20"/>
                <w:szCs w:val="20"/>
                <w:lang w:eastAsia="ja-JP"/>
              </w:rPr>
            </w:pPr>
            <w:r>
              <w:rPr>
                <w:rFonts w:ascii="Times New Roman" w:hAnsi="Times New Roman" w:eastAsia="Times New Roman" w:cs="Times New Roman"/>
                <w:color w:val="000000"/>
                <w:sz w:val="20"/>
                <w:szCs w:val="20"/>
                <w:lang w:eastAsia="ja-JP"/>
              </w:rPr>
              <w:t>Explains clearly to ensure the patient understands the pain levels on the scale.</w:t>
            </w:r>
          </w:p>
          <w:p>
            <w:pPr>
              <w:autoSpaceDE w:val="0"/>
              <w:autoSpaceDN w:val="0"/>
              <w:adjustRightInd w:val="0"/>
              <w:spacing w:after="0" w:line="240" w:lineRule="auto"/>
              <w:ind w:left="360"/>
              <w:contextualSpacing/>
              <w:rPr>
                <w:rFonts w:ascii="Times New Roman" w:hAnsi="Times New Roman" w:eastAsia="Times New Roman" w:cs="Times New Roman"/>
                <w:color w:val="000000"/>
                <w:sz w:val="20"/>
                <w:szCs w:val="20"/>
                <w:lang w:eastAsia="ja-JP"/>
              </w:rPr>
            </w:pPr>
            <w:r>
              <w:rPr>
                <w:rFonts w:ascii="Times New Roman" w:hAnsi="Times New Roman" w:eastAsia="Times New Roman" w:cs="Times New Roman"/>
                <w:color w:val="000000"/>
                <w:sz w:val="20"/>
                <w:szCs w:val="20"/>
                <w:lang w:eastAsia="ja-JP"/>
              </w:rPr>
              <w:t xml:space="preserve">Done </w:t>
            </w:r>
          </w:p>
          <w:p>
            <w:pPr>
              <w:autoSpaceDE w:val="0"/>
              <w:autoSpaceDN w:val="0"/>
              <w:adjustRightInd w:val="0"/>
              <w:spacing w:after="0" w:line="240" w:lineRule="auto"/>
              <w:ind w:left="360"/>
              <w:contextualSpacing/>
              <w:rPr>
                <w:rFonts w:ascii="Times New Roman" w:hAnsi="Times New Roman" w:eastAsia="MS Mincho" w:cs="Times New Roman"/>
                <w:sz w:val="20"/>
                <w:szCs w:val="20"/>
                <w:lang w:eastAsia="ja-JP"/>
              </w:rPr>
            </w:pPr>
            <w:r>
              <w:rPr>
                <w:rFonts w:ascii="Times New Roman" w:hAnsi="Times New Roman" w:eastAsia="Times New Roman" w:cs="Times New Roman"/>
                <w:color w:val="000000"/>
                <w:sz w:val="20"/>
                <w:szCs w:val="20"/>
                <w:lang w:eastAsia="ja-JP"/>
              </w:rPr>
              <w:t>Not done</w:t>
            </w:r>
          </w:p>
        </w:tc>
        <w:tc>
          <w:tcPr>
            <w:tcW w:w="1006"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0</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60</w:t>
            </w:r>
          </w:p>
        </w:tc>
        <w:tc>
          <w:tcPr>
            <w:tcW w:w="1154"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0</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numPr>
                <w:ilvl w:val="0"/>
                <w:numId w:val="11"/>
              </w:numPr>
              <w:autoSpaceDE w:val="0"/>
              <w:autoSpaceDN w:val="0"/>
              <w:adjustRightInd w:val="0"/>
              <w:spacing w:after="0" w:line="240" w:lineRule="auto"/>
              <w:contextualSpacing/>
              <w:rPr>
                <w:rFonts w:ascii="Times New Roman" w:hAnsi="Times New Roman" w:eastAsia="MS Mincho" w:cs="Times New Roman"/>
                <w:sz w:val="20"/>
                <w:szCs w:val="20"/>
                <w:lang w:eastAsia="ja-JP"/>
              </w:rPr>
            </w:pPr>
            <w:r>
              <w:rPr>
                <w:rFonts w:ascii="Times New Roman" w:hAnsi="Times New Roman" w:eastAsia="MS Mincho" w:cs="Times New Roman"/>
                <w:sz w:val="20"/>
                <w:szCs w:val="20"/>
                <w:lang w:eastAsia="ja-JP"/>
              </w:rPr>
              <w:t>Communicates findings with the relevant authority.</w:t>
            </w:r>
          </w:p>
          <w:p>
            <w:pPr>
              <w:autoSpaceDE w:val="0"/>
              <w:autoSpaceDN w:val="0"/>
              <w:adjustRightInd w:val="0"/>
              <w:spacing w:after="0" w:line="240" w:lineRule="auto"/>
              <w:ind w:left="360"/>
              <w:contextualSpacing/>
              <w:rPr>
                <w:rFonts w:ascii="Times New Roman" w:hAnsi="Times New Roman" w:eastAsia="Times New Roman" w:cs="Times New Roman"/>
                <w:color w:val="000000"/>
                <w:sz w:val="20"/>
                <w:szCs w:val="20"/>
                <w:lang w:eastAsia="ja-JP"/>
              </w:rPr>
            </w:pPr>
            <w:r>
              <w:rPr>
                <w:rFonts w:ascii="Times New Roman" w:hAnsi="Times New Roman" w:eastAsia="Times New Roman" w:cs="Times New Roman"/>
                <w:color w:val="000000"/>
                <w:sz w:val="20"/>
                <w:szCs w:val="20"/>
                <w:lang w:eastAsia="ja-JP"/>
              </w:rPr>
              <w:t xml:space="preserve">Done </w:t>
            </w:r>
          </w:p>
          <w:p>
            <w:pPr>
              <w:autoSpaceDE w:val="0"/>
              <w:autoSpaceDN w:val="0"/>
              <w:adjustRightInd w:val="0"/>
              <w:spacing w:after="0" w:line="240" w:lineRule="auto"/>
              <w:ind w:left="360"/>
              <w:contextualSpacing/>
              <w:rPr>
                <w:rFonts w:ascii="Times New Roman" w:hAnsi="Times New Roman" w:eastAsia="MS Mincho" w:cs="Times New Roman"/>
                <w:sz w:val="20"/>
                <w:szCs w:val="20"/>
                <w:lang w:eastAsia="ja-JP"/>
              </w:rPr>
            </w:pPr>
            <w:r>
              <w:rPr>
                <w:rFonts w:ascii="Times New Roman" w:hAnsi="Times New Roman" w:eastAsia="Times New Roman" w:cs="Times New Roman"/>
                <w:color w:val="000000"/>
                <w:sz w:val="20"/>
                <w:szCs w:val="20"/>
                <w:lang w:eastAsia="ja-JP"/>
              </w:rPr>
              <w:t>Not don</w:t>
            </w:r>
          </w:p>
        </w:tc>
        <w:tc>
          <w:tcPr>
            <w:tcW w:w="1006"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0</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60</w:t>
            </w:r>
          </w:p>
        </w:tc>
        <w:tc>
          <w:tcPr>
            <w:tcW w:w="1154"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0</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numPr>
                <w:ilvl w:val="0"/>
                <w:numId w:val="11"/>
              </w:numPr>
              <w:autoSpaceDE w:val="0"/>
              <w:autoSpaceDN w:val="0"/>
              <w:adjustRightInd w:val="0"/>
              <w:spacing w:after="0" w:line="240" w:lineRule="auto"/>
              <w:contextualSpacing/>
              <w:rPr>
                <w:rFonts w:ascii="Times New Roman" w:hAnsi="Times New Roman" w:eastAsia="MS Mincho" w:cs="Times New Roman"/>
                <w:sz w:val="20"/>
                <w:szCs w:val="20"/>
                <w:lang w:eastAsia="ja-JP"/>
              </w:rPr>
            </w:pPr>
            <w:r>
              <w:rPr>
                <w:rFonts w:ascii="Times New Roman" w:hAnsi="Times New Roman" w:eastAsia="Times New Roman" w:cs="Times New Roman"/>
                <w:color w:val="000000"/>
                <w:sz w:val="20"/>
                <w:szCs w:val="20"/>
                <w:lang w:eastAsia="ja-JP"/>
              </w:rPr>
              <w:t>Agrees with patients’ statements about their pain.</w:t>
            </w:r>
          </w:p>
          <w:p>
            <w:pPr>
              <w:autoSpaceDE w:val="0"/>
              <w:autoSpaceDN w:val="0"/>
              <w:adjustRightInd w:val="0"/>
              <w:spacing w:after="0" w:line="240" w:lineRule="auto"/>
              <w:ind w:left="360"/>
              <w:contextualSpacing/>
              <w:rPr>
                <w:rFonts w:ascii="Times New Roman" w:hAnsi="Times New Roman" w:eastAsia="Times New Roman" w:cs="Times New Roman"/>
                <w:color w:val="000000"/>
                <w:sz w:val="20"/>
                <w:szCs w:val="20"/>
                <w:lang w:eastAsia="ja-JP"/>
              </w:rPr>
            </w:pPr>
            <w:r>
              <w:rPr>
                <w:rFonts w:ascii="Times New Roman" w:hAnsi="Times New Roman" w:eastAsia="Times New Roman" w:cs="Times New Roman"/>
                <w:color w:val="000000"/>
                <w:sz w:val="20"/>
                <w:szCs w:val="20"/>
                <w:lang w:eastAsia="ja-JP"/>
              </w:rPr>
              <w:t xml:space="preserve">Done </w:t>
            </w:r>
          </w:p>
          <w:p>
            <w:pPr>
              <w:autoSpaceDE w:val="0"/>
              <w:autoSpaceDN w:val="0"/>
              <w:adjustRightInd w:val="0"/>
              <w:spacing w:after="0" w:line="240" w:lineRule="auto"/>
              <w:ind w:left="360"/>
              <w:contextualSpacing/>
              <w:rPr>
                <w:rFonts w:ascii="Times New Roman" w:hAnsi="Times New Roman" w:eastAsia="MS Mincho" w:cs="Times New Roman"/>
                <w:sz w:val="20"/>
                <w:szCs w:val="20"/>
                <w:lang w:eastAsia="ja-JP"/>
              </w:rPr>
            </w:pPr>
            <w:r>
              <w:rPr>
                <w:rFonts w:ascii="Times New Roman" w:hAnsi="Times New Roman" w:eastAsia="Times New Roman" w:cs="Times New Roman"/>
                <w:color w:val="000000"/>
                <w:sz w:val="20"/>
                <w:szCs w:val="20"/>
                <w:lang w:eastAsia="ja-JP"/>
              </w:rPr>
              <w:t>Not don</w:t>
            </w:r>
          </w:p>
        </w:tc>
        <w:tc>
          <w:tcPr>
            <w:tcW w:w="1006"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18</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42</w:t>
            </w:r>
          </w:p>
        </w:tc>
        <w:tc>
          <w:tcPr>
            <w:tcW w:w="1154"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30</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numPr>
                <w:ilvl w:val="0"/>
                <w:numId w:val="11"/>
              </w:numPr>
              <w:autoSpaceDE w:val="0"/>
              <w:autoSpaceDN w:val="0"/>
              <w:adjustRightInd w:val="0"/>
              <w:spacing w:after="0" w:line="240" w:lineRule="auto"/>
              <w:contextualSpacing/>
              <w:rPr>
                <w:rFonts w:ascii="Times New Roman" w:hAnsi="Times New Roman" w:eastAsia="MS Mincho" w:cs="Times New Roman"/>
                <w:sz w:val="20"/>
                <w:szCs w:val="20"/>
                <w:lang w:eastAsia="ja-JP"/>
              </w:rPr>
            </w:pPr>
            <w:r>
              <w:rPr>
                <w:rFonts w:ascii="Times New Roman" w:hAnsi="Times New Roman" w:eastAsia="Times New Roman" w:cs="Times New Roman"/>
                <w:color w:val="000000"/>
                <w:sz w:val="20"/>
                <w:szCs w:val="20"/>
                <w:lang w:eastAsia="ja-JP"/>
              </w:rPr>
              <w:t>Probes to validate patients’ statements about their pain.</w:t>
            </w:r>
          </w:p>
          <w:p>
            <w:pPr>
              <w:autoSpaceDE w:val="0"/>
              <w:autoSpaceDN w:val="0"/>
              <w:adjustRightInd w:val="0"/>
              <w:spacing w:after="0" w:line="240" w:lineRule="auto"/>
              <w:ind w:left="360"/>
              <w:contextualSpacing/>
              <w:rPr>
                <w:rFonts w:ascii="Times New Roman" w:hAnsi="Times New Roman" w:eastAsia="Times New Roman" w:cs="Times New Roman"/>
                <w:color w:val="000000"/>
                <w:sz w:val="20"/>
                <w:szCs w:val="20"/>
                <w:lang w:eastAsia="ja-JP"/>
              </w:rPr>
            </w:pPr>
            <w:r>
              <w:rPr>
                <w:rFonts w:ascii="Times New Roman" w:hAnsi="Times New Roman" w:eastAsia="Times New Roman" w:cs="Times New Roman"/>
                <w:color w:val="000000"/>
                <w:sz w:val="20"/>
                <w:szCs w:val="20"/>
                <w:lang w:eastAsia="ja-JP"/>
              </w:rPr>
              <w:t xml:space="preserve">Done </w:t>
            </w:r>
          </w:p>
          <w:p>
            <w:pPr>
              <w:autoSpaceDE w:val="0"/>
              <w:autoSpaceDN w:val="0"/>
              <w:adjustRightInd w:val="0"/>
              <w:spacing w:after="0" w:line="240" w:lineRule="auto"/>
              <w:ind w:left="360"/>
              <w:contextualSpacing/>
              <w:rPr>
                <w:rFonts w:ascii="Times New Roman" w:hAnsi="Times New Roman" w:eastAsia="MS Mincho" w:cs="Times New Roman"/>
                <w:sz w:val="20"/>
                <w:szCs w:val="20"/>
                <w:lang w:eastAsia="ja-JP"/>
              </w:rPr>
            </w:pPr>
            <w:r>
              <w:rPr>
                <w:rFonts w:ascii="Times New Roman" w:hAnsi="Times New Roman" w:eastAsia="Times New Roman" w:cs="Times New Roman"/>
                <w:color w:val="000000"/>
                <w:sz w:val="20"/>
                <w:szCs w:val="20"/>
                <w:lang w:eastAsia="ja-JP"/>
              </w:rPr>
              <w:t>Not don</w:t>
            </w:r>
          </w:p>
        </w:tc>
        <w:tc>
          <w:tcPr>
            <w:tcW w:w="1006"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0</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60</w:t>
            </w:r>
          </w:p>
        </w:tc>
        <w:tc>
          <w:tcPr>
            <w:tcW w:w="1154"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0</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numPr>
                <w:ilvl w:val="0"/>
                <w:numId w:val="11"/>
              </w:numPr>
              <w:autoSpaceDE w:val="0"/>
              <w:autoSpaceDN w:val="0"/>
              <w:adjustRightInd w:val="0"/>
              <w:spacing w:after="0" w:line="240" w:lineRule="auto"/>
              <w:contextualSpacing/>
              <w:rPr>
                <w:rFonts w:ascii="Times New Roman" w:hAnsi="Times New Roman" w:eastAsia="Times New Roman" w:cs="Times New Roman"/>
                <w:color w:val="000000"/>
                <w:sz w:val="20"/>
                <w:szCs w:val="20"/>
                <w:lang w:eastAsia="ja-JP"/>
              </w:rPr>
            </w:pPr>
            <w:r>
              <w:rPr>
                <w:rFonts w:ascii="Times New Roman" w:hAnsi="Times New Roman" w:eastAsia="Times New Roman" w:cs="Times New Roman"/>
                <w:color w:val="000000"/>
                <w:sz w:val="20"/>
                <w:szCs w:val="20"/>
                <w:lang w:eastAsia="ja-JP"/>
              </w:rPr>
              <w:t>Educates patient about pain management strategies (list for each checklist)</w:t>
            </w:r>
          </w:p>
          <w:p>
            <w:pPr>
              <w:autoSpaceDE w:val="0"/>
              <w:autoSpaceDN w:val="0"/>
              <w:adjustRightInd w:val="0"/>
              <w:spacing w:after="0" w:line="240" w:lineRule="auto"/>
              <w:ind w:left="360"/>
              <w:contextualSpacing/>
              <w:rPr>
                <w:rFonts w:ascii="Times New Roman" w:hAnsi="Times New Roman" w:eastAsia="Times New Roman" w:cs="Times New Roman"/>
                <w:color w:val="000000"/>
                <w:sz w:val="20"/>
                <w:szCs w:val="20"/>
                <w:lang w:eastAsia="ja-JP"/>
              </w:rPr>
            </w:pPr>
            <w:r>
              <w:rPr>
                <w:rFonts w:ascii="Times New Roman" w:hAnsi="Times New Roman" w:eastAsia="Times New Roman" w:cs="Times New Roman"/>
                <w:color w:val="000000"/>
                <w:sz w:val="20"/>
                <w:szCs w:val="20"/>
                <w:lang w:eastAsia="ja-JP"/>
              </w:rPr>
              <w:t xml:space="preserve">Done </w:t>
            </w:r>
          </w:p>
          <w:p>
            <w:pPr>
              <w:autoSpaceDE w:val="0"/>
              <w:autoSpaceDN w:val="0"/>
              <w:adjustRightInd w:val="0"/>
              <w:spacing w:after="0" w:line="240" w:lineRule="auto"/>
              <w:ind w:left="360"/>
              <w:contextualSpacing/>
              <w:rPr>
                <w:rFonts w:ascii="Times New Roman" w:hAnsi="Times New Roman" w:eastAsia="Times New Roman" w:cs="Times New Roman"/>
                <w:color w:val="000000"/>
                <w:sz w:val="20"/>
                <w:szCs w:val="20"/>
                <w:lang w:eastAsia="ja-JP"/>
              </w:rPr>
            </w:pPr>
            <w:r>
              <w:rPr>
                <w:rFonts w:ascii="Times New Roman" w:hAnsi="Times New Roman" w:eastAsia="Times New Roman" w:cs="Times New Roman"/>
                <w:color w:val="000000"/>
                <w:sz w:val="20"/>
                <w:szCs w:val="20"/>
                <w:lang w:eastAsia="ja-JP"/>
              </w:rPr>
              <w:t>Not done</w:t>
            </w:r>
          </w:p>
        </w:tc>
        <w:tc>
          <w:tcPr>
            <w:tcW w:w="1006"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0</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60</w:t>
            </w:r>
          </w:p>
        </w:tc>
        <w:tc>
          <w:tcPr>
            <w:tcW w:w="1154"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0</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numPr>
                <w:ilvl w:val="0"/>
                <w:numId w:val="11"/>
              </w:numPr>
              <w:autoSpaceDE w:val="0"/>
              <w:autoSpaceDN w:val="0"/>
              <w:adjustRightInd w:val="0"/>
              <w:spacing w:after="0" w:line="240" w:lineRule="auto"/>
              <w:contextualSpacing/>
              <w:rPr>
                <w:rFonts w:ascii="Times New Roman" w:hAnsi="Times New Roman" w:eastAsia="Times New Roman" w:cs="Times New Roman"/>
                <w:color w:val="000000"/>
                <w:sz w:val="20"/>
                <w:szCs w:val="20"/>
                <w:lang w:eastAsia="ja-JP"/>
              </w:rPr>
            </w:pPr>
            <w:r>
              <w:rPr>
                <w:rFonts w:ascii="Times New Roman" w:hAnsi="Times New Roman" w:eastAsia="Times New Roman" w:cs="Times New Roman"/>
                <w:color w:val="000000"/>
                <w:sz w:val="20"/>
                <w:szCs w:val="20"/>
                <w:lang w:eastAsia="ja-JP"/>
              </w:rPr>
              <w:t>Reassesses pain level after intervention.</w:t>
            </w:r>
          </w:p>
          <w:p>
            <w:pPr>
              <w:autoSpaceDE w:val="0"/>
              <w:autoSpaceDN w:val="0"/>
              <w:adjustRightInd w:val="0"/>
              <w:spacing w:after="0" w:line="240" w:lineRule="auto"/>
              <w:ind w:left="360"/>
              <w:contextualSpacing/>
              <w:rPr>
                <w:rFonts w:ascii="Times New Roman" w:hAnsi="Times New Roman" w:eastAsia="Times New Roman" w:cs="Times New Roman"/>
                <w:color w:val="000000"/>
                <w:sz w:val="20"/>
                <w:szCs w:val="20"/>
                <w:lang w:eastAsia="ja-JP"/>
              </w:rPr>
            </w:pPr>
            <w:r>
              <w:rPr>
                <w:rFonts w:ascii="Times New Roman" w:hAnsi="Times New Roman" w:eastAsia="Times New Roman" w:cs="Times New Roman"/>
                <w:color w:val="000000"/>
                <w:sz w:val="20"/>
                <w:szCs w:val="20"/>
                <w:lang w:eastAsia="ja-JP"/>
              </w:rPr>
              <w:t xml:space="preserve">Done </w:t>
            </w:r>
          </w:p>
          <w:p>
            <w:pPr>
              <w:autoSpaceDE w:val="0"/>
              <w:autoSpaceDN w:val="0"/>
              <w:adjustRightInd w:val="0"/>
              <w:spacing w:after="0" w:line="240" w:lineRule="auto"/>
              <w:ind w:left="360"/>
              <w:contextualSpacing/>
              <w:rPr>
                <w:rFonts w:ascii="Times New Roman" w:hAnsi="Times New Roman" w:eastAsia="Times New Roman" w:cs="Times New Roman"/>
                <w:color w:val="000000"/>
                <w:sz w:val="20"/>
                <w:szCs w:val="20"/>
                <w:lang w:eastAsia="ja-JP"/>
              </w:rPr>
            </w:pPr>
            <w:r>
              <w:rPr>
                <w:rFonts w:ascii="Times New Roman" w:hAnsi="Times New Roman" w:eastAsia="Times New Roman" w:cs="Times New Roman"/>
                <w:color w:val="000000"/>
                <w:sz w:val="20"/>
                <w:szCs w:val="20"/>
                <w:lang w:eastAsia="ja-JP"/>
              </w:rPr>
              <w:t>Not don3</w:t>
            </w:r>
          </w:p>
        </w:tc>
        <w:tc>
          <w:tcPr>
            <w:tcW w:w="1006"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07</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53</w:t>
            </w:r>
          </w:p>
        </w:tc>
        <w:tc>
          <w:tcPr>
            <w:tcW w:w="1154" w:type="dxa"/>
          </w:tcPr>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100</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11.7</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numPr>
                <w:ilvl w:val="0"/>
                <w:numId w:val="11"/>
              </w:numPr>
              <w:autoSpaceDE w:val="0"/>
              <w:autoSpaceDN w:val="0"/>
              <w:adjustRightInd w:val="0"/>
              <w:spacing w:after="0" w:line="240" w:lineRule="auto"/>
              <w:contextualSpacing/>
              <w:rPr>
                <w:rFonts w:ascii="Times New Roman" w:hAnsi="Times New Roman" w:eastAsia="Times New Roman" w:cs="Times New Roman"/>
                <w:color w:val="000000"/>
                <w:sz w:val="20"/>
                <w:szCs w:val="20"/>
                <w:lang w:eastAsia="ja-JP"/>
              </w:rPr>
            </w:pPr>
            <w:r>
              <w:rPr>
                <w:rFonts w:ascii="Times New Roman" w:hAnsi="Times New Roman" w:eastAsia="Times New Roman" w:cs="Times New Roman"/>
                <w:color w:val="000000"/>
                <w:sz w:val="20"/>
                <w:szCs w:val="20"/>
                <w:lang w:eastAsia="ja-JP"/>
              </w:rPr>
              <w:t>Involves patient and family in pain assessment plan.</w:t>
            </w:r>
          </w:p>
          <w:p>
            <w:pPr>
              <w:autoSpaceDE w:val="0"/>
              <w:autoSpaceDN w:val="0"/>
              <w:adjustRightInd w:val="0"/>
              <w:spacing w:after="0" w:line="240" w:lineRule="auto"/>
              <w:ind w:left="360"/>
              <w:contextualSpacing/>
              <w:rPr>
                <w:rFonts w:ascii="Times New Roman" w:hAnsi="Times New Roman" w:eastAsia="Times New Roman" w:cs="Times New Roman"/>
                <w:color w:val="000000"/>
                <w:sz w:val="20"/>
                <w:szCs w:val="20"/>
                <w:lang w:eastAsia="ja-JP"/>
              </w:rPr>
            </w:pPr>
            <w:r>
              <w:rPr>
                <w:rFonts w:ascii="Times New Roman" w:hAnsi="Times New Roman" w:eastAsia="Times New Roman" w:cs="Times New Roman"/>
                <w:color w:val="000000"/>
                <w:sz w:val="20"/>
                <w:szCs w:val="20"/>
                <w:lang w:eastAsia="ja-JP"/>
              </w:rPr>
              <w:t xml:space="preserve">Done </w:t>
            </w:r>
          </w:p>
          <w:p>
            <w:pPr>
              <w:autoSpaceDE w:val="0"/>
              <w:autoSpaceDN w:val="0"/>
              <w:adjustRightInd w:val="0"/>
              <w:spacing w:after="0" w:line="240" w:lineRule="auto"/>
              <w:ind w:left="360"/>
              <w:contextualSpacing/>
              <w:rPr>
                <w:rFonts w:ascii="Times New Roman" w:hAnsi="Times New Roman" w:eastAsia="Times New Roman" w:cs="Times New Roman"/>
                <w:color w:val="000000"/>
                <w:sz w:val="20"/>
                <w:szCs w:val="20"/>
                <w:lang w:eastAsia="ja-JP"/>
              </w:rPr>
            </w:pPr>
            <w:r>
              <w:rPr>
                <w:rFonts w:ascii="Times New Roman" w:hAnsi="Times New Roman" w:eastAsia="Times New Roman" w:cs="Times New Roman"/>
                <w:color w:val="000000"/>
                <w:sz w:val="20"/>
                <w:szCs w:val="20"/>
                <w:lang w:eastAsia="ja-JP"/>
              </w:rPr>
              <w:t>Not don</w:t>
            </w:r>
          </w:p>
        </w:tc>
        <w:tc>
          <w:tcPr>
            <w:tcW w:w="1006"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19</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31</w:t>
            </w:r>
          </w:p>
        </w:tc>
        <w:tc>
          <w:tcPr>
            <w:tcW w:w="1154"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48.4</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numPr>
                <w:ilvl w:val="0"/>
                <w:numId w:val="11"/>
              </w:numPr>
              <w:autoSpaceDE w:val="0"/>
              <w:autoSpaceDN w:val="0"/>
              <w:adjustRightInd w:val="0"/>
              <w:spacing w:after="0" w:line="240" w:lineRule="auto"/>
              <w:contextualSpacing/>
              <w:rPr>
                <w:rFonts w:ascii="Times New Roman" w:hAnsi="Times New Roman" w:eastAsia="Times New Roman" w:cs="Times New Roman"/>
                <w:color w:val="000000"/>
                <w:sz w:val="20"/>
                <w:szCs w:val="20"/>
                <w:lang w:eastAsia="ja-JP"/>
              </w:rPr>
            </w:pPr>
            <w:bookmarkStart w:id="232" w:name="_Hlk143203696"/>
            <w:r>
              <w:rPr>
                <w:rFonts w:ascii="Times New Roman" w:hAnsi="Times New Roman" w:eastAsia="Times New Roman" w:cs="Times New Roman"/>
                <w:color w:val="000000"/>
                <w:sz w:val="20"/>
                <w:szCs w:val="20"/>
                <w:lang w:eastAsia="ja-JP"/>
              </w:rPr>
              <w:t>Documents treatment modality for pain</w:t>
            </w:r>
          </w:p>
          <w:p>
            <w:pPr>
              <w:autoSpaceDE w:val="0"/>
              <w:autoSpaceDN w:val="0"/>
              <w:adjustRightInd w:val="0"/>
              <w:spacing w:after="0" w:line="240" w:lineRule="auto"/>
              <w:ind w:left="360"/>
              <w:contextualSpacing/>
              <w:rPr>
                <w:rFonts w:ascii="Times New Roman" w:hAnsi="Times New Roman" w:eastAsia="Times New Roman" w:cs="Times New Roman"/>
                <w:color w:val="000000"/>
                <w:sz w:val="20"/>
                <w:szCs w:val="20"/>
                <w:lang w:eastAsia="ja-JP"/>
              </w:rPr>
            </w:pPr>
            <w:r>
              <w:rPr>
                <w:rFonts w:ascii="Times New Roman" w:hAnsi="Times New Roman" w:eastAsia="Times New Roman" w:cs="Times New Roman"/>
                <w:color w:val="000000"/>
                <w:sz w:val="20"/>
                <w:szCs w:val="20"/>
                <w:lang w:eastAsia="ja-JP"/>
              </w:rPr>
              <w:t xml:space="preserve">Done </w:t>
            </w:r>
          </w:p>
          <w:bookmarkEnd w:id="232"/>
          <w:p>
            <w:pPr>
              <w:autoSpaceDE w:val="0"/>
              <w:autoSpaceDN w:val="0"/>
              <w:adjustRightInd w:val="0"/>
              <w:spacing w:after="0" w:line="240" w:lineRule="auto"/>
              <w:ind w:left="360"/>
              <w:contextualSpacing/>
              <w:rPr>
                <w:rFonts w:ascii="Times New Roman" w:hAnsi="Times New Roman" w:eastAsia="Times New Roman" w:cs="Times New Roman"/>
                <w:color w:val="000000"/>
                <w:sz w:val="20"/>
                <w:szCs w:val="20"/>
                <w:lang w:eastAsia="ja-JP"/>
              </w:rPr>
            </w:pPr>
            <w:r>
              <w:rPr>
                <w:rFonts w:ascii="Times New Roman" w:hAnsi="Times New Roman" w:eastAsia="Times New Roman" w:cs="Times New Roman"/>
                <w:color w:val="000000"/>
                <w:sz w:val="20"/>
                <w:szCs w:val="20"/>
                <w:lang w:eastAsia="ja-JP"/>
              </w:rPr>
              <w:t>Not don</w:t>
            </w:r>
          </w:p>
        </w:tc>
        <w:tc>
          <w:tcPr>
            <w:tcW w:w="1006"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0</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60</w:t>
            </w:r>
          </w:p>
        </w:tc>
        <w:tc>
          <w:tcPr>
            <w:tcW w:w="1154"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0</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1"/>
              </w:numPr>
              <w:rPr>
                <w:rFonts w:eastAsia="Times New Roman"/>
                <w:color w:val="000000"/>
                <w:sz w:val="20"/>
                <w:szCs w:val="20"/>
              </w:rPr>
            </w:pPr>
            <w:r>
              <w:rPr>
                <w:rFonts w:eastAsia="Times New Roman"/>
                <w:color w:val="000000"/>
                <w:sz w:val="20"/>
                <w:szCs w:val="20"/>
              </w:rPr>
              <w:t xml:space="preserve">Impact of pain on functionality is documented. </w:t>
            </w:r>
          </w:p>
          <w:p>
            <w:pPr>
              <w:autoSpaceDE w:val="0"/>
              <w:autoSpaceDN w:val="0"/>
              <w:adjustRightInd w:val="0"/>
              <w:spacing w:after="0" w:line="240" w:lineRule="auto"/>
              <w:ind w:left="360"/>
              <w:contextualSpacing/>
              <w:rPr>
                <w:rFonts w:ascii="Times New Roman" w:hAnsi="Times New Roman" w:eastAsia="Times New Roman" w:cs="Times New Roman"/>
                <w:color w:val="000000"/>
                <w:sz w:val="20"/>
                <w:szCs w:val="20"/>
                <w:lang w:eastAsia="ja-JP"/>
              </w:rPr>
            </w:pPr>
            <w:r>
              <w:rPr>
                <w:rFonts w:ascii="Times New Roman" w:hAnsi="Times New Roman" w:eastAsia="Times New Roman" w:cs="Times New Roman"/>
                <w:color w:val="000000"/>
                <w:sz w:val="20"/>
                <w:szCs w:val="20"/>
                <w:lang w:eastAsia="ja-JP"/>
              </w:rPr>
              <w:t xml:space="preserve">Done </w:t>
            </w:r>
          </w:p>
          <w:p>
            <w:pPr>
              <w:autoSpaceDE w:val="0"/>
              <w:autoSpaceDN w:val="0"/>
              <w:adjustRightInd w:val="0"/>
              <w:spacing w:after="0" w:line="240" w:lineRule="auto"/>
              <w:ind w:left="360"/>
              <w:contextualSpacing/>
              <w:rPr>
                <w:rFonts w:ascii="Times New Roman" w:hAnsi="Times New Roman" w:eastAsia="Times New Roman" w:cs="Times New Roman"/>
                <w:color w:val="000000"/>
                <w:sz w:val="20"/>
                <w:szCs w:val="20"/>
                <w:lang w:eastAsia="ja-JP"/>
              </w:rPr>
            </w:pPr>
            <w:r>
              <w:rPr>
                <w:rFonts w:ascii="Times New Roman" w:hAnsi="Times New Roman" w:eastAsia="Times New Roman" w:cs="Times New Roman"/>
                <w:color w:val="000000"/>
                <w:sz w:val="20"/>
                <w:szCs w:val="20"/>
                <w:lang w:eastAsia="ja-JP"/>
              </w:rPr>
              <w:t>Not done</w:t>
            </w:r>
          </w:p>
        </w:tc>
        <w:tc>
          <w:tcPr>
            <w:tcW w:w="1006" w:type="dxa"/>
          </w:tcPr>
          <w:p>
            <w:pPr>
              <w:autoSpaceDE w:val="0"/>
              <w:autoSpaceDN w:val="0"/>
              <w:adjustRightInd w:val="0"/>
              <w:spacing w:after="0" w:line="240" w:lineRule="auto"/>
              <w:rPr>
                <w:rFonts w:ascii="Times New Roman" w:hAnsi="Times New Roman" w:eastAsia="MS Mincho" w:cs="Times New Roman"/>
                <w:sz w:val="20"/>
                <w:szCs w:val="20"/>
              </w:rPr>
            </w:pPr>
          </w:p>
          <w:p>
            <w:pPr>
              <w:autoSpaceDE w:val="0"/>
              <w:autoSpaceDN w:val="0"/>
              <w:adjustRightInd w:val="0"/>
              <w:spacing w:after="0" w:line="240" w:lineRule="auto"/>
              <w:rPr>
                <w:rFonts w:ascii="Times New Roman" w:hAnsi="Times New Roman" w:eastAsia="MS Mincho" w:cs="Times New Roman"/>
                <w:sz w:val="20"/>
                <w:szCs w:val="20"/>
              </w:rPr>
            </w:pPr>
            <w:r>
              <w:rPr>
                <w:rFonts w:ascii="Times New Roman" w:hAnsi="Times New Roman" w:eastAsia="MS Mincho" w:cs="Times New Roman"/>
                <w:sz w:val="20"/>
                <w:szCs w:val="20"/>
              </w:rPr>
              <w:t>0</w:t>
            </w:r>
          </w:p>
          <w:p>
            <w:pPr>
              <w:autoSpaceDE w:val="0"/>
              <w:autoSpaceDN w:val="0"/>
              <w:adjustRightInd w:val="0"/>
              <w:spacing w:after="0" w:line="240" w:lineRule="auto"/>
              <w:rPr>
                <w:rFonts w:ascii="Times New Roman" w:hAnsi="Times New Roman" w:eastAsia="MS Mincho" w:cs="Times New Roman"/>
                <w:sz w:val="20"/>
                <w:szCs w:val="20"/>
              </w:rPr>
            </w:pPr>
            <w:r>
              <w:rPr>
                <w:rFonts w:ascii="Times New Roman" w:hAnsi="Times New Roman" w:eastAsia="MS Mincho" w:cs="Times New Roman"/>
                <w:sz w:val="20"/>
                <w:szCs w:val="20"/>
              </w:rPr>
              <w:t>60</w:t>
            </w:r>
          </w:p>
        </w:tc>
        <w:tc>
          <w:tcPr>
            <w:tcW w:w="1154" w:type="dxa"/>
          </w:tcPr>
          <w:p>
            <w:pPr>
              <w:autoSpaceDE w:val="0"/>
              <w:autoSpaceDN w:val="0"/>
              <w:adjustRightInd w:val="0"/>
              <w:spacing w:after="0" w:line="240" w:lineRule="auto"/>
              <w:rPr>
                <w:rFonts w:ascii="Times New Roman" w:hAnsi="Times New Roman" w:eastAsia="MS Mincho" w:cs="Times New Roman"/>
                <w:sz w:val="20"/>
                <w:szCs w:val="20"/>
              </w:rPr>
            </w:pPr>
          </w:p>
          <w:p>
            <w:pPr>
              <w:autoSpaceDE w:val="0"/>
              <w:autoSpaceDN w:val="0"/>
              <w:adjustRightInd w:val="0"/>
              <w:spacing w:after="0" w:line="240" w:lineRule="auto"/>
              <w:rPr>
                <w:rFonts w:ascii="Times New Roman" w:hAnsi="Times New Roman" w:eastAsia="MS Mincho" w:cs="Times New Roman"/>
                <w:sz w:val="20"/>
                <w:szCs w:val="20"/>
              </w:rPr>
            </w:pPr>
            <w:r>
              <w:rPr>
                <w:rFonts w:ascii="Times New Roman" w:hAnsi="Times New Roman" w:eastAsia="MS Mincho" w:cs="Times New Roman"/>
                <w:sz w:val="20"/>
                <w:szCs w:val="20"/>
              </w:rPr>
              <w:t>0</w:t>
            </w:r>
          </w:p>
          <w:p>
            <w:pPr>
              <w:autoSpaceDE w:val="0"/>
              <w:autoSpaceDN w:val="0"/>
              <w:adjustRightInd w:val="0"/>
              <w:spacing w:after="0" w:line="240" w:lineRule="auto"/>
              <w:rPr>
                <w:rFonts w:ascii="Times New Roman" w:hAnsi="Times New Roman" w:eastAsia="MS Mincho" w:cs="Times New Roman"/>
                <w:sz w:val="20"/>
                <w:szCs w:val="20"/>
              </w:rPr>
            </w:pPr>
            <w:r>
              <w:rPr>
                <w:rFonts w:ascii="Times New Roman" w:hAnsi="Times New Roman" w:eastAsia="MS Mincho" w:cs="Times New Roman"/>
                <w:sz w:val="20"/>
                <w:szCs w:val="20"/>
              </w:rPr>
              <w:t>100</w:t>
            </w:r>
          </w:p>
        </w:tc>
      </w:tr>
      <w:bookmarkEnd w:id="143"/>
      <w:bookmarkEnd w:id="229"/>
    </w:tbl>
    <w:p>
      <w:pPr>
        <w:rPr>
          <w:rFonts w:ascii="Times New Roman" w:hAnsi="Times New Roman" w:cs="Times New Roman"/>
          <w:sz w:val="24"/>
          <w:szCs w:val="24"/>
        </w:rPr>
      </w:pPr>
      <w:bookmarkStart w:id="233" w:name="_Toc120852264"/>
    </w:p>
    <w:p>
      <w:pPr>
        <w:autoSpaceDE w:val="0"/>
        <w:autoSpaceDN w:val="0"/>
        <w:adjustRightInd w:val="0"/>
        <w:spacing w:after="0" w:line="480" w:lineRule="auto"/>
        <w:ind w:firstLine="720"/>
        <w:contextualSpacing/>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The majority of responders, as shown in Table 14, did not rate the postoperative pain for the patients on the surgical wards as evidenced in the patient’s case books. For instance, the responders were unable to</w:t>
      </w:r>
      <w:r>
        <w:rPr>
          <w:rFonts w:ascii="Times New Roman" w:hAnsi="Times New Roman" w:eastAsia="Times New Roman" w:cs="Times New Roman"/>
          <w:color w:val="000000"/>
          <w:sz w:val="24"/>
          <w:szCs w:val="24"/>
          <w:lang w:eastAsia="ja-JP"/>
        </w:rPr>
        <w:t xml:space="preserve"> assess pain intensity for patients who couldn’t communicate.</w:t>
      </w:r>
    </w:p>
    <w:p>
      <w:pPr>
        <w:autoSpaceDE w:val="0"/>
        <w:autoSpaceDN w:val="0"/>
        <w:adjustRightInd w:val="0"/>
        <w:spacing w:after="0" w:line="480" w:lineRule="auto"/>
        <w:ind w:firstLine="720"/>
        <w:contextualSpacing/>
        <w:rPr>
          <w:rFonts w:ascii="Times New Roman" w:hAnsi="Times New Roman" w:cs="Times New Roman"/>
          <w:sz w:val="24"/>
          <w:szCs w:val="24"/>
        </w:rPr>
      </w:pPr>
      <w:bookmarkStart w:id="234" w:name="_Hlk143810517"/>
      <w:bookmarkStart w:id="235" w:name="_Toc142753430"/>
      <w:bookmarkStart w:id="236" w:name="_Toc134604190"/>
      <w:r>
        <w:rPr>
          <w:rFonts w:ascii="Times New Roman" w:hAnsi="Times New Roman" w:eastAsia="Times New Roman" w:cs="Times New Roman"/>
          <w:color w:val="000000"/>
          <w:sz w:val="24"/>
          <w:szCs w:val="24"/>
          <w:lang w:eastAsia="ja-JP"/>
        </w:rPr>
        <w:t xml:space="preserve">None of them informed the appropriate authority of their findings because they failed to consider postoperative discomfort. Similarly, none of the respondents provided the patient with information on pain management techniques. </w:t>
      </w:r>
      <w:bookmarkEnd w:id="234"/>
      <w:r>
        <w:rPr>
          <w:rFonts w:ascii="Times New Roman" w:hAnsi="Times New Roman" w:eastAsia="Times New Roman" w:cs="Times New Roman"/>
          <w:color w:val="000000"/>
          <w:sz w:val="24"/>
          <w:szCs w:val="24"/>
          <w:lang w:eastAsia="ja-JP"/>
        </w:rPr>
        <w:t>In line, none of the patients’ case book had the treatment modality for pain documented. More troublingly, 70% of the respondents did not agree with the patients about their post operative pain. It was revealed that only 11.7% of the respondents assessed for the pain intensity after administering a pain killer.</w:t>
      </w:r>
    </w:p>
    <w:p>
      <w:pPr>
        <w:autoSpaceDE w:val="0"/>
        <w:autoSpaceDN w:val="0"/>
        <w:adjustRightInd w:val="0"/>
        <w:spacing w:after="0" w:line="480" w:lineRule="auto"/>
        <w:contextualSpacing/>
        <w:rPr>
          <w:rFonts w:ascii="Times New Roman" w:hAnsi="Times New Roman" w:cs="Times New Roman"/>
          <w:b/>
          <w:bCs/>
          <w:sz w:val="24"/>
          <w:szCs w:val="24"/>
        </w:rPr>
      </w:pPr>
      <w:r>
        <w:rPr>
          <w:rFonts w:ascii="Times New Roman" w:hAnsi="Times New Roman" w:cs="Times New Roman"/>
          <w:b/>
          <w:bCs/>
          <w:sz w:val="24"/>
          <w:szCs w:val="24"/>
        </w:rPr>
        <w:t>The Effect of Integrating the Pain Assessment Scale on the Nurse’s Practice towards Post Operative Pain Management (posttest).</w:t>
      </w:r>
    </w:p>
    <w:p>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researcher used an observation checklist to conduct a post evaluation test following the implementation of the educational intervention of incorporating the pain assessment scale into nurses' practice to ascertain its impact on the practice of post-operative pain management. The results are shown in Table 15.</w:t>
      </w:r>
    </w:p>
    <w:p>
      <w:pPr>
        <w:spacing w:line="480" w:lineRule="auto"/>
        <w:ind w:firstLine="720"/>
        <w:rPr>
          <w:rFonts w:ascii="Times New Roman" w:hAnsi="Times New Roman" w:cs="Times New Roman"/>
          <w:sz w:val="24"/>
          <w:szCs w:val="24"/>
        </w:rPr>
      </w:pPr>
    </w:p>
    <w:p>
      <w:pPr>
        <w:spacing w:line="480" w:lineRule="auto"/>
        <w:ind w:firstLine="720"/>
        <w:rPr>
          <w:rFonts w:ascii="Times New Roman" w:hAnsi="Times New Roman" w:cs="Times New Roman"/>
          <w:sz w:val="24"/>
          <w:szCs w:val="24"/>
        </w:rPr>
      </w:pPr>
    </w:p>
    <w:p>
      <w:pPr>
        <w:spacing w:line="480" w:lineRule="auto"/>
        <w:ind w:firstLine="720"/>
        <w:rPr>
          <w:rFonts w:ascii="Times New Roman" w:hAnsi="Times New Roman" w:cs="Times New Roman"/>
          <w:sz w:val="24"/>
          <w:szCs w:val="24"/>
        </w:rPr>
      </w:pPr>
    </w:p>
    <w:p>
      <w:pPr>
        <w:spacing w:line="480" w:lineRule="auto"/>
        <w:ind w:firstLine="720"/>
        <w:rPr>
          <w:rFonts w:ascii="Times New Roman" w:hAnsi="Times New Roman" w:cs="Times New Roman"/>
          <w:sz w:val="24"/>
          <w:szCs w:val="24"/>
        </w:rPr>
      </w:pPr>
    </w:p>
    <w:p>
      <w:pPr>
        <w:spacing w:line="480" w:lineRule="auto"/>
        <w:ind w:firstLine="720"/>
        <w:rPr>
          <w:rFonts w:ascii="Times New Roman" w:hAnsi="Times New Roman" w:cs="Times New Roman"/>
          <w:sz w:val="24"/>
          <w:szCs w:val="24"/>
        </w:rPr>
      </w:pPr>
    </w:p>
    <w:p>
      <w:pPr>
        <w:spacing w:line="480" w:lineRule="auto"/>
        <w:ind w:firstLine="720"/>
        <w:rPr>
          <w:rFonts w:ascii="Times New Roman" w:hAnsi="Times New Roman" w:cs="Times New Roman"/>
          <w:sz w:val="24"/>
          <w:szCs w:val="24"/>
        </w:rPr>
      </w:pPr>
    </w:p>
    <w:p>
      <w:pPr>
        <w:spacing w:line="480" w:lineRule="auto"/>
        <w:ind w:firstLine="720"/>
        <w:rPr>
          <w:rFonts w:ascii="Times New Roman" w:hAnsi="Times New Roman" w:cs="Times New Roman"/>
          <w:sz w:val="24"/>
          <w:szCs w:val="24"/>
        </w:rPr>
      </w:pPr>
    </w:p>
    <w:p>
      <w:pPr>
        <w:spacing w:line="480" w:lineRule="auto"/>
        <w:ind w:firstLine="720"/>
        <w:rPr>
          <w:rFonts w:ascii="Times New Roman" w:hAnsi="Times New Roman" w:cs="Times New Roman"/>
          <w:sz w:val="24"/>
          <w:szCs w:val="24"/>
        </w:rPr>
      </w:pPr>
    </w:p>
    <w:p>
      <w:pPr>
        <w:pStyle w:val="9"/>
        <w:keepNext/>
        <w:rPr>
          <w:rFonts w:ascii="Times New Roman" w:hAnsi="Times New Roman" w:cs="Times New Roman"/>
          <w:sz w:val="24"/>
          <w:szCs w:val="24"/>
        </w:rPr>
      </w:pPr>
      <w:r>
        <w:rPr>
          <w:rFonts w:ascii="Times New Roman" w:hAnsi="Times New Roman" w:cs="Times New Roman"/>
          <w:sz w:val="24"/>
          <w:szCs w:val="24"/>
        </w:rPr>
        <w:t>Table 15: Post evaluation regarding post operative pain management practice.</w:t>
      </w:r>
    </w:p>
    <w:tbl>
      <w:tblPr>
        <w:tblStyle w:val="19"/>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5"/>
        <w:gridCol w:w="1006"/>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autoSpaceDE w:val="0"/>
              <w:autoSpaceDN w:val="0"/>
              <w:adjustRightInd w:val="0"/>
              <w:spacing w:after="0" w:line="360" w:lineRule="auto"/>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 xml:space="preserve">Activities during pain assessment and management </w:t>
            </w:r>
          </w:p>
        </w:tc>
        <w:tc>
          <w:tcPr>
            <w:tcW w:w="1006" w:type="dxa"/>
          </w:tcPr>
          <w:p>
            <w:pPr>
              <w:autoSpaceDE w:val="0"/>
              <w:autoSpaceDN w:val="0"/>
              <w:adjustRightInd w:val="0"/>
              <w:spacing w:after="0" w:line="360" w:lineRule="auto"/>
              <w:rPr>
                <w:rFonts w:ascii="Times New Roman" w:hAnsi="Times New Roman" w:eastAsia="MS Mincho" w:cs="Times New Roman"/>
                <w:sz w:val="20"/>
                <w:szCs w:val="20"/>
              </w:rPr>
            </w:pPr>
            <w:r>
              <w:rPr>
                <w:rFonts w:ascii="Times New Roman" w:hAnsi="Times New Roman" w:eastAsia="MS Mincho" w:cs="Times New Roman"/>
                <w:sz w:val="20"/>
                <w:szCs w:val="20"/>
              </w:rPr>
              <w:t>f</w:t>
            </w:r>
          </w:p>
        </w:tc>
        <w:tc>
          <w:tcPr>
            <w:tcW w:w="1154" w:type="dxa"/>
          </w:tcPr>
          <w:p>
            <w:pPr>
              <w:autoSpaceDE w:val="0"/>
              <w:autoSpaceDN w:val="0"/>
              <w:adjustRightInd w:val="0"/>
              <w:spacing w:after="0" w:line="360" w:lineRule="auto"/>
              <w:rPr>
                <w:rFonts w:ascii="Times New Roman" w:hAnsi="Times New Roman" w:eastAsia="MS Mincho" w:cs="Times New Roman"/>
                <w:sz w:val="20"/>
                <w:szCs w:val="20"/>
              </w:rPr>
            </w:pPr>
            <w:r>
              <w:rPr>
                <w:rFonts w:ascii="Times New Roman" w:hAnsi="Times New Roman" w:eastAsia="MS Mincho"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2"/>
              </w:numPr>
              <w:autoSpaceDE w:val="0"/>
              <w:autoSpaceDN w:val="0"/>
              <w:adjustRightInd w:val="0"/>
              <w:rPr>
                <w:sz w:val="20"/>
                <w:szCs w:val="20"/>
              </w:rPr>
            </w:pPr>
            <w:r>
              <w:rPr>
                <w:rFonts w:eastAsia="Times New Roman"/>
                <w:color w:val="000000"/>
                <w:sz w:val="20"/>
                <w:szCs w:val="20"/>
              </w:rPr>
              <w:t>Provides direct nursing care to POP patients.</w:t>
            </w:r>
          </w:p>
          <w:p>
            <w:pPr>
              <w:pStyle w:val="24"/>
              <w:autoSpaceDE w:val="0"/>
              <w:autoSpaceDN w:val="0"/>
              <w:adjustRightInd w:val="0"/>
              <w:ind w:left="1440"/>
              <w:rPr>
                <w:rFonts w:eastAsia="Times New Roman"/>
                <w:color w:val="000000"/>
                <w:sz w:val="20"/>
                <w:szCs w:val="20"/>
              </w:rPr>
            </w:pPr>
            <w:r>
              <w:rPr>
                <w:rFonts w:eastAsia="Times New Roman"/>
                <w:color w:val="000000"/>
                <w:sz w:val="20"/>
                <w:szCs w:val="20"/>
              </w:rPr>
              <w:t xml:space="preserve">Done </w:t>
            </w:r>
          </w:p>
          <w:p>
            <w:pPr>
              <w:pStyle w:val="24"/>
              <w:autoSpaceDE w:val="0"/>
              <w:autoSpaceDN w:val="0"/>
              <w:adjustRightInd w:val="0"/>
              <w:ind w:left="1440"/>
              <w:rPr>
                <w:sz w:val="20"/>
                <w:szCs w:val="20"/>
              </w:rPr>
            </w:pPr>
            <w:r>
              <w:rPr>
                <w:rFonts w:eastAsia="Times New Roman"/>
                <w:color w:val="000000"/>
                <w:sz w:val="20"/>
                <w:szCs w:val="20"/>
              </w:rPr>
              <w:t xml:space="preserve">Not done </w:t>
            </w:r>
          </w:p>
        </w:tc>
        <w:tc>
          <w:tcPr>
            <w:tcW w:w="1006"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45</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15</w:t>
            </w:r>
          </w:p>
        </w:tc>
        <w:tc>
          <w:tcPr>
            <w:tcW w:w="1154"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75</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015" w:type="dxa"/>
          </w:tcPr>
          <w:p>
            <w:pPr>
              <w:pStyle w:val="24"/>
              <w:numPr>
                <w:ilvl w:val="0"/>
                <w:numId w:val="12"/>
              </w:numPr>
              <w:autoSpaceDE w:val="0"/>
              <w:autoSpaceDN w:val="0"/>
              <w:adjustRightInd w:val="0"/>
              <w:rPr>
                <w:sz w:val="20"/>
                <w:szCs w:val="20"/>
              </w:rPr>
            </w:pPr>
            <w:r>
              <w:rPr>
                <w:rFonts w:eastAsia="Times New Roman"/>
                <w:color w:val="000000"/>
                <w:sz w:val="20"/>
                <w:szCs w:val="20"/>
              </w:rPr>
              <w:t>Assessment for pain intensity for patients who are able to communicate.</w:t>
            </w:r>
          </w:p>
          <w:p>
            <w:pPr>
              <w:pStyle w:val="24"/>
              <w:autoSpaceDE w:val="0"/>
              <w:autoSpaceDN w:val="0"/>
              <w:adjustRightInd w:val="0"/>
              <w:ind w:left="1440"/>
              <w:rPr>
                <w:rFonts w:eastAsia="Times New Roman"/>
                <w:color w:val="000000"/>
                <w:sz w:val="20"/>
                <w:szCs w:val="20"/>
              </w:rPr>
            </w:pPr>
            <w:r>
              <w:rPr>
                <w:rFonts w:eastAsia="Times New Roman"/>
                <w:color w:val="000000"/>
                <w:sz w:val="20"/>
                <w:szCs w:val="20"/>
              </w:rPr>
              <w:t xml:space="preserve">Done </w:t>
            </w:r>
          </w:p>
          <w:p>
            <w:pPr>
              <w:pStyle w:val="24"/>
              <w:autoSpaceDE w:val="0"/>
              <w:autoSpaceDN w:val="0"/>
              <w:adjustRightInd w:val="0"/>
              <w:ind w:left="1440"/>
              <w:rPr>
                <w:sz w:val="20"/>
                <w:szCs w:val="20"/>
              </w:rPr>
            </w:pPr>
            <w:r>
              <w:rPr>
                <w:rFonts w:eastAsia="Times New Roman"/>
                <w:color w:val="000000"/>
                <w:sz w:val="20"/>
                <w:szCs w:val="20"/>
              </w:rPr>
              <w:t>Not done</w:t>
            </w:r>
          </w:p>
        </w:tc>
        <w:tc>
          <w:tcPr>
            <w:tcW w:w="1006"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32</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18</w:t>
            </w:r>
          </w:p>
        </w:tc>
        <w:tc>
          <w:tcPr>
            <w:tcW w:w="1154"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53.3</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2"/>
              </w:numPr>
              <w:autoSpaceDE w:val="0"/>
              <w:autoSpaceDN w:val="0"/>
              <w:adjustRightInd w:val="0"/>
              <w:rPr>
                <w:rFonts w:eastAsia="Times New Roman"/>
                <w:color w:val="000000"/>
                <w:sz w:val="20"/>
                <w:szCs w:val="20"/>
              </w:rPr>
            </w:pPr>
            <w:bookmarkStart w:id="237" w:name="_Hlk143209327"/>
            <w:r>
              <w:rPr>
                <w:rFonts w:eastAsia="Times New Roman"/>
                <w:color w:val="000000"/>
                <w:sz w:val="20"/>
                <w:szCs w:val="20"/>
              </w:rPr>
              <w:t>Assesses pain using the PQRST.</w:t>
            </w:r>
          </w:p>
          <w:bookmarkEnd w:id="237"/>
          <w:p>
            <w:pPr>
              <w:pStyle w:val="24"/>
              <w:autoSpaceDE w:val="0"/>
              <w:autoSpaceDN w:val="0"/>
              <w:adjustRightInd w:val="0"/>
              <w:ind w:left="1440"/>
              <w:rPr>
                <w:rFonts w:eastAsia="Times New Roman"/>
                <w:color w:val="000000"/>
                <w:sz w:val="20"/>
                <w:szCs w:val="20"/>
              </w:rPr>
            </w:pPr>
            <w:r>
              <w:rPr>
                <w:rFonts w:eastAsia="Times New Roman"/>
                <w:color w:val="000000"/>
                <w:sz w:val="20"/>
                <w:szCs w:val="20"/>
              </w:rPr>
              <w:t xml:space="preserve">Done </w:t>
            </w:r>
          </w:p>
          <w:p>
            <w:pPr>
              <w:pStyle w:val="24"/>
              <w:autoSpaceDE w:val="0"/>
              <w:autoSpaceDN w:val="0"/>
              <w:adjustRightInd w:val="0"/>
              <w:ind w:left="1440"/>
              <w:rPr>
                <w:rFonts w:eastAsia="Times New Roman"/>
                <w:color w:val="000000"/>
                <w:sz w:val="20"/>
                <w:szCs w:val="20"/>
              </w:rPr>
            </w:pPr>
            <w:r>
              <w:rPr>
                <w:rFonts w:eastAsia="Times New Roman"/>
                <w:color w:val="000000"/>
                <w:sz w:val="20"/>
                <w:szCs w:val="20"/>
              </w:rPr>
              <w:t>Not don</w:t>
            </w:r>
          </w:p>
        </w:tc>
        <w:tc>
          <w:tcPr>
            <w:tcW w:w="1006"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52</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08</w:t>
            </w:r>
          </w:p>
        </w:tc>
        <w:tc>
          <w:tcPr>
            <w:tcW w:w="1154"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87.0</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2"/>
              </w:numPr>
              <w:autoSpaceDE w:val="0"/>
              <w:autoSpaceDN w:val="0"/>
              <w:adjustRightInd w:val="0"/>
              <w:rPr>
                <w:sz w:val="20"/>
                <w:szCs w:val="20"/>
              </w:rPr>
            </w:pPr>
            <w:bookmarkStart w:id="238" w:name="_Hlk143209572"/>
            <w:r>
              <w:rPr>
                <w:rFonts w:eastAsia="Times New Roman"/>
                <w:color w:val="000000"/>
                <w:sz w:val="20"/>
                <w:szCs w:val="20"/>
              </w:rPr>
              <w:t>Assesses pain using a pain assessment tool.</w:t>
            </w:r>
          </w:p>
          <w:bookmarkEnd w:id="238"/>
          <w:p>
            <w:pPr>
              <w:pStyle w:val="24"/>
              <w:autoSpaceDE w:val="0"/>
              <w:autoSpaceDN w:val="0"/>
              <w:adjustRightInd w:val="0"/>
              <w:ind w:left="1440"/>
              <w:rPr>
                <w:rFonts w:eastAsia="Times New Roman"/>
                <w:color w:val="000000"/>
                <w:sz w:val="20"/>
                <w:szCs w:val="20"/>
              </w:rPr>
            </w:pPr>
            <w:r>
              <w:rPr>
                <w:rFonts w:eastAsia="Times New Roman"/>
                <w:color w:val="000000"/>
                <w:sz w:val="20"/>
                <w:szCs w:val="20"/>
              </w:rPr>
              <w:t xml:space="preserve">Done </w:t>
            </w:r>
          </w:p>
          <w:p>
            <w:pPr>
              <w:pStyle w:val="24"/>
              <w:autoSpaceDE w:val="0"/>
              <w:autoSpaceDN w:val="0"/>
              <w:adjustRightInd w:val="0"/>
              <w:ind w:left="1440"/>
              <w:rPr>
                <w:sz w:val="20"/>
                <w:szCs w:val="20"/>
              </w:rPr>
            </w:pPr>
            <w:r>
              <w:rPr>
                <w:rFonts w:eastAsia="Times New Roman"/>
                <w:color w:val="000000"/>
                <w:sz w:val="20"/>
                <w:szCs w:val="20"/>
              </w:rPr>
              <w:t>Not done</w:t>
            </w:r>
          </w:p>
        </w:tc>
        <w:tc>
          <w:tcPr>
            <w:tcW w:w="1006"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44</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16</w:t>
            </w:r>
          </w:p>
        </w:tc>
        <w:tc>
          <w:tcPr>
            <w:tcW w:w="1154"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73.3</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2"/>
              </w:numPr>
              <w:autoSpaceDE w:val="0"/>
              <w:autoSpaceDN w:val="0"/>
              <w:adjustRightInd w:val="0"/>
              <w:rPr>
                <w:sz w:val="20"/>
                <w:szCs w:val="20"/>
              </w:rPr>
            </w:pPr>
            <w:r>
              <w:rPr>
                <w:rFonts w:eastAsia="Times New Roman"/>
                <w:color w:val="000000"/>
                <w:sz w:val="20"/>
                <w:szCs w:val="20"/>
              </w:rPr>
              <w:t>Clearly documents pain assessment findings using a numeric rating scale.</w:t>
            </w:r>
          </w:p>
          <w:p>
            <w:pPr>
              <w:pStyle w:val="24"/>
              <w:autoSpaceDE w:val="0"/>
              <w:autoSpaceDN w:val="0"/>
              <w:adjustRightInd w:val="0"/>
              <w:ind w:left="1440"/>
              <w:rPr>
                <w:rFonts w:eastAsia="Times New Roman"/>
                <w:color w:val="000000"/>
                <w:sz w:val="20"/>
                <w:szCs w:val="20"/>
              </w:rPr>
            </w:pPr>
            <w:r>
              <w:rPr>
                <w:rFonts w:eastAsia="Times New Roman"/>
                <w:color w:val="000000"/>
                <w:sz w:val="20"/>
                <w:szCs w:val="20"/>
              </w:rPr>
              <w:t xml:space="preserve">Done </w:t>
            </w:r>
          </w:p>
          <w:p>
            <w:pPr>
              <w:pStyle w:val="24"/>
              <w:autoSpaceDE w:val="0"/>
              <w:autoSpaceDN w:val="0"/>
              <w:adjustRightInd w:val="0"/>
              <w:ind w:left="1440"/>
              <w:rPr>
                <w:sz w:val="20"/>
                <w:szCs w:val="20"/>
              </w:rPr>
            </w:pPr>
            <w:r>
              <w:rPr>
                <w:rFonts w:eastAsia="Times New Roman"/>
                <w:color w:val="000000"/>
                <w:sz w:val="20"/>
                <w:szCs w:val="20"/>
              </w:rPr>
              <w:t>Not done</w:t>
            </w:r>
          </w:p>
        </w:tc>
        <w:tc>
          <w:tcPr>
            <w:tcW w:w="1006"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28</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32</w:t>
            </w:r>
          </w:p>
        </w:tc>
        <w:tc>
          <w:tcPr>
            <w:tcW w:w="1154"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46.7</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2"/>
              </w:numPr>
              <w:autoSpaceDE w:val="0"/>
              <w:autoSpaceDN w:val="0"/>
              <w:adjustRightInd w:val="0"/>
              <w:rPr>
                <w:sz w:val="20"/>
                <w:szCs w:val="20"/>
              </w:rPr>
            </w:pPr>
            <w:r>
              <w:rPr>
                <w:rFonts w:eastAsia="Times New Roman"/>
                <w:color w:val="000000"/>
                <w:sz w:val="20"/>
                <w:szCs w:val="20"/>
              </w:rPr>
              <w:t>Explains clearly to ensure the patient understands the pain levels on the scale.</w:t>
            </w:r>
          </w:p>
          <w:p>
            <w:pPr>
              <w:pStyle w:val="24"/>
              <w:autoSpaceDE w:val="0"/>
              <w:autoSpaceDN w:val="0"/>
              <w:adjustRightInd w:val="0"/>
              <w:ind w:left="1440"/>
              <w:rPr>
                <w:rFonts w:eastAsia="Times New Roman"/>
                <w:color w:val="000000"/>
                <w:sz w:val="20"/>
                <w:szCs w:val="20"/>
              </w:rPr>
            </w:pPr>
            <w:r>
              <w:rPr>
                <w:rFonts w:eastAsia="Times New Roman"/>
                <w:color w:val="000000"/>
                <w:sz w:val="20"/>
                <w:szCs w:val="20"/>
              </w:rPr>
              <w:t xml:space="preserve">Done </w:t>
            </w:r>
          </w:p>
          <w:p>
            <w:pPr>
              <w:pStyle w:val="24"/>
              <w:autoSpaceDE w:val="0"/>
              <w:autoSpaceDN w:val="0"/>
              <w:adjustRightInd w:val="0"/>
              <w:ind w:left="1440"/>
              <w:rPr>
                <w:sz w:val="20"/>
                <w:szCs w:val="20"/>
              </w:rPr>
            </w:pPr>
            <w:r>
              <w:rPr>
                <w:rFonts w:eastAsia="Times New Roman"/>
                <w:color w:val="000000"/>
                <w:sz w:val="20"/>
                <w:szCs w:val="20"/>
              </w:rPr>
              <w:t>Not done</w:t>
            </w:r>
          </w:p>
        </w:tc>
        <w:tc>
          <w:tcPr>
            <w:tcW w:w="1006"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31</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29</w:t>
            </w:r>
          </w:p>
        </w:tc>
        <w:tc>
          <w:tcPr>
            <w:tcW w:w="1154"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51.7</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2"/>
              </w:numPr>
              <w:autoSpaceDE w:val="0"/>
              <w:autoSpaceDN w:val="0"/>
              <w:adjustRightInd w:val="0"/>
              <w:rPr>
                <w:sz w:val="20"/>
                <w:szCs w:val="20"/>
              </w:rPr>
            </w:pPr>
            <w:r>
              <w:rPr>
                <w:sz w:val="20"/>
                <w:szCs w:val="20"/>
              </w:rPr>
              <w:t>Communicates findings with the relevant authority.</w:t>
            </w:r>
          </w:p>
          <w:p>
            <w:pPr>
              <w:pStyle w:val="24"/>
              <w:autoSpaceDE w:val="0"/>
              <w:autoSpaceDN w:val="0"/>
              <w:adjustRightInd w:val="0"/>
              <w:ind w:left="1440"/>
              <w:rPr>
                <w:rFonts w:eastAsia="Times New Roman"/>
                <w:color w:val="000000"/>
                <w:sz w:val="20"/>
                <w:szCs w:val="20"/>
              </w:rPr>
            </w:pPr>
            <w:r>
              <w:rPr>
                <w:rFonts w:eastAsia="Times New Roman"/>
                <w:color w:val="000000"/>
                <w:sz w:val="20"/>
                <w:szCs w:val="20"/>
              </w:rPr>
              <w:t xml:space="preserve">Done </w:t>
            </w:r>
          </w:p>
          <w:p>
            <w:pPr>
              <w:pStyle w:val="24"/>
              <w:autoSpaceDE w:val="0"/>
              <w:autoSpaceDN w:val="0"/>
              <w:adjustRightInd w:val="0"/>
              <w:ind w:left="1440"/>
              <w:rPr>
                <w:sz w:val="20"/>
                <w:szCs w:val="20"/>
              </w:rPr>
            </w:pPr>
            <w:r>
              <w:rPr>
                <w:rFonts w:eastAsia="Times New Roman"/>
                <w:color w:val="000000"/>
                <w:sz w:val="20"/>
                <w:szCs w:val="20"/>
              </w:rPr>
              <w:t>Not done</w:t>
            </w:r>
          </w:p>
        </w:tc>
        <w:tc>
          <w:tcPr>
            <w:tcW w:w="1006"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34</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16</w:t>
            </w:r>
          </w:p>
        </w:tc>
        <w:tc>
          <w:tcPr>
            <w:tcW w:w="1154"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56.7</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2"/>
              </w:numPr>
              <w:autoSpaceDE w:val="0"/>
              <w:autoSpaceDN w:val="0"/>
              <w:adjustRightInd w:val="0"/>
              <w:rPr>
                <w:sz w:val="20"/>
                <w:szCs w:val="20"/>
              </w:rPr>
            </w:pPr>
            <w:r>
              <w:rPr>
                <w:rFonts w:eastAsia="Times New Roman"/>
                <w:color w:val="000000"/>
                <w:sz w:val="20"/>
                <w:szCs w:val="20"/>
              </w:rPr>
              <w:t>Agrees with patients’ statements about their pain.</w:t>
            </w:r>
          </w:p>
          <w:p>
            <w:pPr>
              <w:pStyle w:val="24"/>
              <w:autoSpaceDE w:val="0"/>
              <w:autoSpaceDN w:val="0"/>
              <w:adjustRightInd w:val="0"/>
              <w:ind w:left="1440"/>
              <w:rPr>
                <w:rFonts w:eastAsia="Times New Roman"/>
                <w:color w:val="000000"/>
                <w:sz w:val="20"/>
                <w:szCs w:val="20"/>
              </w:rPr>
            </w:pPr>
            <w:r>
              <w:rPr>
                <w:rFonts w:eastAsia="Times New Roman"/>
                <w:color w:val="000000"/>
                <w:sz w:val="20"/>
                <w:szCs w:val="20"/>
              </w:rPr>
              <w:t xml:space="preserve">Done </w:t>
            </w:r>
          </w:p>
          <w:p>
            <w:pPr>
              <w:pStyle w:val="24"/>
              <w:autoSpaceDE w:val="0"/>
              <w:autoSpaceDN w:val="0"/>
              <w:adjustRightInd w:val="0"/>
              <w:ind w:left="1440"/>
              <w:rPr>
                <w:sz w:val="20"/>
                <w:szCs w:val="20"/>
              </w:rPr>
            </w:pPr>
            <w:r>
              <w:rPr>
                <w:rFonts w:eastAsia="Times New Roman"/>
                <w:color w:val="000000"/>
                <w:sz w:val="20"/>
                <w:szCs w:val="20"/>
              </w:rPr>
              <w:t>Not done</w:t>
            </w:r>
          </w:p>
        </w:tc>
        <w:tc>
          <w:tcPr>
            <w:tcW w:w="1006"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29</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31</w:t>
            </w:r>
          </w:p>
        </w:tc>
        <w:tc>
          <w:tcPr>
            <w:tcW w:w="1154"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48.3</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2"/>
              </w:numPr>
              <w:autoSpaceDE w:val="0"/>
              <w:autoSpaceDN w:val="0"/>
              <w:adjustRightInd w:val="0"/>
              <w:rPr>
                <w:sz w:val="20"/>
                <w:szCs w:val="20"/>
              </w:rPr>
            </w:pPr>
            <w:bookmarkStart w:id="239" w:name="_Hlk143209936"/>
            <w:r>
              <w:rPr>
                <w:rFonts w:eastAsia="Times New Roman"/>
                <w:color w:val="000000"/>
                <w:sz w:val="20"/>
                <w:szCs w:val="20"/>
              </w:rPr>
              <w:t>Probes to validate patients’ statements about their pain.</w:t>
            </w:r>
          </w:p>
          <w:bookmarkEnd w:id="239"/>
          <w:p>
            <w:pPr>
              <w:pStyle w:val="24"/>
              <w:autoSpaceDE w:val="0"/>
              <w:autoSpaceDN w:val="0"/>
              <w:adjustRightInd w:val="0"/>
              <w:ind w:left="1440"/>
              <w:rPr>
                <w:rFonts w:eastAsia="Times New Roman"/>
                <w:color w:val="000000"/>
                <w:sz w:val="20"/>
                <w:szCs w:val="20"/>
              </w:rPr>
            </w:pPr>
            <w:r>
              <w:rPr>
                <w:rFonts w:eastAsia="Times New Roman"/>
                <w:color w:val="000000"/>
                <w:sz w:val="20"/>
                <w:szCs w:val="20"/>
              </w:rPr>
              <w:t xml:space="preserve">Done </w:t>
            </w:r>
          </w:p>
          <w:p>
            <w:pPr>
              <w:pStyle w:val="24"/>
              <w:autoSpaceDE w:val="0"/>
              <w:autoSpaceDN w:val="0"/>
              <w:adjustRightInd w:val="0"/>
              <w:ind w:left="1440"/>
              <w:rPr>
                <w:sz w:val="20"/>
                <w:szCs w:val="20"/>
              </w:rPr>
            </w:pPr>
            <w:r>
              <w:rPr>
                <w:rFonts w:eastAsia="Times New Roman"/>
                <w:color w:val="000000"/>
                <w:sz w:val="20"/>
                <w:szCs w:val="20"/>
              </w:rPr>
              <w:t>Not done</w:t>
            </w:r>
          </w:p>
        </w:tc>
        <w:tc>
          <w:tcPr>
            <w:tcW w:w="1006"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17</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43</w:t>
            </w:r>
          </w:p>
        </w:tc>
        <w:tc>
          <w:tcPr>
            <w:tcW w:w="1154"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28.3</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2"/>
              </w:numPr>
              <w:autoSpaceDE w:val="0"/>
              <w:autoSpaceDN w:val="0"/>
              <w:adjustRightInd w:val="0"/>
              <w:rPr>
                <w:rFonts w:eastAsia="Times New Roman"/>
                <w:color w:val="000000"/>
                <w:sz w:val="20"/>
                <w:szCs w:val="20"/>
              </w:rPr>
            </w:pPr>
            <w:r>
              <w:rPr>
                <w:rFonts w:eastAsia="Times New Roman"/>
                <w:color w:val="000000"/>
                <w:sz w:val="20"/>
                <w:szCs w:val="20"/>
              </w:rPr>
              <w:t>Educates patient about pain management strategies (list for each checklist)</w:t>
            </w:r>
          </w:p>
          <w:p>
            <w:pPr>
              <w:pStyle w:val="24"/>
              <w:autoSpaceDE w:val="0"/>
              <w:autoSpaceDN w:val="0"/>
              <w:adjustRightInd w:val="0"/>
              <w:ind w:left="1440"/>
              <w:rPr>
                <w:rFonts w:eastAsia="Times New Roman"/>
                <w:color w:val="000000"/>
                <w:sz w:val="20"/>
                <w:szCs w:val="20"/>
              </w:rPr>
            </w:pPr>
            <w:r>
              <w:rPr>
                <w:rFonts w:eastAsia="Times New Roman"/>
                <w:color w:val="000000"/>
                <w:sz w:val="20"/>
                <w:szCs w:val="20"/>
              </w:rPr>
              <w:t xml:space="preserve">Done </w:t>
            </w:r>
          </w:p>
          <w:p>
            <w:pPr>
              <w:pStyle w:val="24"/>
              <w:autoSpaceDE w:val="0"/>
              <w:autoSpaceDN w:val="0"/>
              <w:adjustRightInd w:val="0"/>
              <w:ind w:left="1440"/>
              <w:rPr>
                <w:rFonts w:eastAsia="Times New Roman"/>
                <w:color w:val="000000"/>
                <w:sz w:val="20"/>
                <w:szCs w:val="20"/>
              </w:rPr>
            </w:pPr>
            <w:r>
              <w:rPr>
                <w:rFonts w:eastAsia="Times New Roman"/>
                <w:color w:val="000000"/>
                <w:sz w:val="20"/>
                <w:szCs w:val="20"/>
              </w:rPr>
              <w:t>Not done</w:t>
            </w:r>
          </w:p>
        </w:tc>
        <w:tc>
          <w:tcPr>
            <w:tcW w:w="1006"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25</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35</w:t>
            </w:r>
          </w:p>
        </w:tc>
        <w:tc>
          <w:tcPr>
            <w:tcW w:w="1154"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41.7</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2"/>
              </w:numPr>
              <w:autoSpaceDE w:val="0"/>
              <w:autoSpaceDN w:val="0"/>
              <w:adjustRightInd w:val="0"/>
              <w:rPr>
                <w:rFonts w:eastAsia="Times New Roman"/>
                <w:color w:val="000000"/>
                <w:sz w:val="20"/>
                <w:szCs w:val="20"/>
              </w:rPr>
            </w:pPr>
            <w:r>
              <w:rPr>
                <w:rFonts w:eastAsia="Times New Roman"/>
                <w:color w:val="000000"/>
                <w:sz w:val="20"/>
                <w:szCs w:val="20"/>
              </w:rPr>
              <w:t>Reassesses pain level after intervention.</w:t>
            </w:r>
          </w:p>
          <w:p>
            <w:pPr>
              <w:pStyle w:val="24"/>
              <w:autoSpaceDE w:val="0"/>
              <w:autoSpaceDN w:val="0"/>
              <w:adjustRightInd w:val="0"/>
              <w:ind w:left="1440"/>
              <w:rPr>
                <w:rFonts w:eastAsia="Times New Roman"/>
                <w:color w:val="000000"/>
                <w:sz w:val="20"/>
                <w:szCs w:val="20"/>
              </w:rPr>
            </w:pPr>
            <w:r>
              <w:rPr>
                <w:rFonts w:eastAsia="Times New Roman"/>
                <w:color w:val="000000"/>
                <w:sz w:val="20"/>
                <w:szCs w:val="20"/>
              </w:rPr>
              <w:t xml:space="preserve">Done </w:t>
            </w:r>
          </w:p>
          <w:p>
            <w:pPr>
              <w:pStyle w:val="24"/>
              <w:autoSpaceDE w:val="0"/>
              <w:autoSpaceDN w:val="0"/>
              <w:adjustRightInd w:val="0"/>
              <w:ind w:left="1440"/>
              <w:rPr>
                <w:rFonts w:eastAsia="Times New Roman"/>
                <w:color w:val="000000"/>
                <w:sz w:val="20"/>
                <w:szCs w:val="20"/>
              </w:rPr>
            </w:pPr>
            <w:r>
              <w:rPr>
                <w:rFonts w:eastAsia="Times New Roman"/>
                <w:color w:val="000000"/>
                <w:sz w:val="20"/>
                <w:szCs w:val="20"/>
              </w:rPr>
              <w:t>Not done</w:t>
            </w:r>
          </w:p>
        </w:tc>
        <w:tc>
          <w:tcPr>
            <w:tcW w:w="1006"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26</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34</w:t>
            </w:r>
          </w:p>
        </w:tc>
        <w:tc>
          <w:tcPr>
            <w:tcW w:w="1154"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43.3</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2"/>
              </w:numPr>
              <w:autoSpaceDE w:val="0"/>
              <w:autoSpaceDN w:val="0"/>
              <w:adjustRightInd w:val="0"/>
              <w:rPr>
                <w:rFonts w:eastAsia="Times New Roman"/>
                <w:color w:val="000000"/>
                <w:sz w:val="20"/>
                <w:szCs w:val="20"/>
              </w:rPr>
            </w:pPr>
            <w:r>
              <w:rPr>
                <w:rFonts w:eastAsia="Times New Roman"/>
                <w:color w:val="000000"/>
                <w:sz w:val="20"/>
                <w:szCs w:val="20"/>
              </w:rPr>
              <w:t>Involves patient and family in pain assessment plan.</w:t>
            </w:r>
          </w:p>
          <w:p>
            <w:pPr>
              <w:pStyle w:val="24"/>
              <w:autoSpaceDE w:val="0"/>
              <w:autoSpaceDN w:val="0"/>
              <w:adjustRightInd w:val="0"/>
              <w:ind w:left="1440"/>
              <w:rPr>
                <w:rFonts w:eastAsia="Times New Roman"/>
                <w:color w:val="000000"/>
                <w:sz w:val="20"/>
                <w:szCs w:val="20"/>
              </w:rPr>
            </w:pPr>
            <w:r>
              <w:rPr>
                <w:rFonts w:eastAsia="Times New Roman"/>
                <w:color w:val="000000"/>
                <w:sz w:val="20"/>
                <w:szCs w:val="20"/>
              </w:rPr>
              <w:t xml:space="preserve">Done </w:t>
            </w:r>
          </w:p>
          <w:p>
            <w:pPr>
              <w:pStyle w:val="24"/>
              <w:autoSpaceDE w:val="0"/>
              <w:autoSpaceDN w:val="0"/>
              <w:adjustRightInd w:val="0"/>
              <w:ind w:left="1440"/>
              <w:rPr>
                <w:rFonts w:eastAsia="Times New Roman"/>
                <w:color w:val="000000"/>
                <w:sz w:val="20"/>
                <w:szCs w:val="20"/>
              </w:rPr>
            </w:pPr>
            <w:r>
              <w:rPr>
                <w:rFonts w:eastAsia="Times New Roman"/>
                <w:color w:val="000000"/>
                <w:sz w:val="20"/>
                <w:szCs w:val="20"/>
              </w:rPr>
              <w:t>Not done</w:t>
            </w:r>
          </w:p>
        </w:tc>
        <w:tc>
          <w:tcPr>
            <w:tcW w:w="1006"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32</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28</w:t>
            </w:r>
          </w:p>
        </w:tc>
        <w:tc>
          <w:tcPr>
            <w:tcW w:w="1154"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48.4</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2"/>
              </w:numPr>
              <w:autoSpaceDE w:val="0"/>
              <w:autoSpaceDN w:val="0"/>
              <w:adjustRightInd w:val="0"/>
              <w:rPr>
                <w:rFonts w:eastAsia="Times New Roman"/>
                <w:color w:val="000000"/>
                <w:sz w:val="20"/>
                <w:szCs w:val="20"/>
              </w:rPr>
            </w:pPr>
            <w:r>
              <w:rPr>
                <w:rFonts w:eastAsia="Times New Roman"/>
                <w:color w:val="000000"/>
                <w:sz w:val="20"/>
                <w:szCs w:val="20"/>
              </w:rPr>
              <w:t>Documents treatment modality for pain</w:t>
            </w:r>
          </w:p>
          <w:p>
            <w:pPr>
              <w:pStyle w:val="24"/>
              <w:autoSpaceDE w:val="0"/>
              <w:autoSpaceDN w:val="0"/>
              <w:adjustRightInd w:val="0"/>
              <w:ind w:left="1440"/>
              <w:rPr>
                <w:rFonts w:eastAsia="Times New Roman"/>
                <w:color w:val="000000"/>
                <w:sz w:val="20"/>
                <w:szCs w:val="20"/>
              </w:rPr>
            </w:pPr>
            <w:r>
              <w:rPr>
                <w:rFonts w:eastAsia="Times New Roman"/>
                <w:color w:val="000000"/>
                <w:sz w:val="20"/>
                <w:szCs w:val="20"/>
              </w:rPr>
              <w:t xml:space="preserve">Done </w:t>
            </w:r>
          </w:p>
          <w:p>
            <w:pPr>
              <w:pStyle w:val="24"/>
              <w:autoSpaceDE w:val="0"/>
              <w:autoSpaceDN w:val="0"/>
              <w:adjustRightInd w:val="0"/>
              <w:ind w:left="1440"/>
              <w:rPr>
                <w:rFonts w:eastAsia="Times New Roman"/>
                <w:color w:val="000000"/>
                <w:sz w:val="20"/>
                <w:szCs w:val="20"/>
              </w:rPr>
            </w:pPr>
            <w:r>
              <w:rPr>
                <w:rFonts w:eastAsia="Times New Roman"/>
                <w:color w:val="000000"/>
                <w:sz w:val="20"/>
                <w:szCs w:val="20"/>
              </w:rPr>
              <w:t>Not done</w:t>
            </w:r>
          </w:p>
        </w:tc>
        <w:tc>
          <w:tcPr>
            <w:tcW w:w="1006"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36</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24</w:t>
            </w:r>
          </w:p>
        </w:tc>
        <w:tc>
          <w:tcPr>
            <w:tcW w:w="1154"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60</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2"/>
              </w:numPr>
              <w:autoSpaceDE w:val="0"/>
              <w:autoSpaceDN w:val="0"/>
              <w:adjustRightInd w:val="0"/>
              <w:rPr>
                <w:rFonts w:eastAsia="Times New Roman"/>
                <w:color w:val="000000"/>
                <w:sz w:val="20"/>
                <w:szCs w:val="20"/>
              </w:rPr>
            </w:pPr>
            <w:r>
              <w:rPr>
                <w:rFonts w:eastAsia="Times New Roman"/>
                <w:color w:val="000000"/>
                <w:sz w:val="20"/>
                <w:szCs w:val="20"/>
              </w:rPr>
              <w:t xml:space="preserve">Impact of pain on functionality is documented. </w:t>
            </w:r>
          </w:p>
          <w:p>
            <w:pPr>
              <w:pStyle w:val="24"/>
              <w:autoSpaceDE w:val="0"/>
              <w:autoSpaceDN w:val="0"/>
              <w:adjustRightInd w:val="0"/>
              <w:ind w:left="1440"/>
              <w:rPr>
                <w:rFonts w:eastAsia="Times New Roman"/>
                <w:color w:val="000000"/>
                <w:sz w:val="20"/>
                <w:szCs w:val="20"/>
              </w:rPr>
            </w:pPr>
            <w:r>
              <w:rPr>
                <w:rFonts w:eastAsia="Times New Roman"/>
                <w:color w:val="000000"/>
                <w:sz w:val="20"/>
                <w:szCs w:val="20"/>
              </w:rPr>
              <w:t xml:space="preserve">Done </w:t>
            </w:r>
          </w:p>
          <w:p>
            <w:pPr>
              <w:pStyle w:val="24"/>
              <w:autoSpaceDE w:val="0"/>
              <w:autoSpaceDN w:val="0"/>
              <w:adjustRightInd w:val="0"/>
              <w:ind w:left="1440"/>
              <w:rPr>
                <w:rFonts w:eastAsia="Times New Roman"/>
                <w:color w:val="000000"/>
                <w:sz w:val="20"/>
                <w:szCs w:val="20"/>
              </w:rPr>
            </w:pPr>
            <w:r>
              <w:rPr>
                <w:rFonts w:eastAsia="Times New Roman"/>
                <w:color w:val="000000"/>
                <w:sz w:val="20"/>
                <w:szCs w:val="20"/>
              </w:rPr>
              <w:t>Not done</w:t>
            </w:r>
          </w:p>
        </w:tc>
        <w:tc>
          <w:tcPr>
            <w:tcW w:w="1006"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35</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25</w:t>
            </w:r>
          </w:p>
        </w:tc>
        <w:tc>
          <w:tcPr>
            <w:tcW w:w="1154" w:type="dxa"/>
          </w:tcPr>
          <w:p>
            <w:pPr>
              <w:autoSpaceDE w:val="0"/>
              <w:autoSpaceDN w:val="0"/>
              <w:adjustRightInd w:val="0"/>
              <w:spacing w:after="0" w:line="240" w:lineRule="auto"/>
              <w:jc w:val="center"/>
              <w:rPr>
                <w:rFonts w:ascii="Times New Roman" w:hAnsi="Times New Roman" w:eastAsia="MS Mincho" w:cs="Times New Roman"/>
                <w:sz w:val="20"/>
                <w:szCs w:val="20"/>
              </w:rPr>
            </w:pP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58.3</w:t>
            </w:r>
          </w:p>
          <w:p>
            <w:pPr>
              <w:autoSpaceDE w:val="0"/>
              <w:autoSpaceDN w:val="0"/>
              <w:adjustRightInd w:val="0"/>
              <w:spacing w:after="0" w:line="240" w:lineRule="auto"/>
              <w:jc w:val="center"/>
              <w:rPr>
                <w:rFonts w:ascii="Times New Roman" w:hAnsi="Times New Roman" w:eastAsia="MS Mincho" w:cs="Times New Roman"/>
                <w:sz w:val="20"/>
                <w:szCs w:val="20"/>
              </w:rPr>
            </w:pPr>
            <w:r>
              <w:rPr>
                <w:rFonts w:ascii="Times New Roman" w:hAnsi="Times New Roman" w:eastAsia="MS Mincho" w:cs="Times New Roman"/>
                <w:sz w:val="20"/>
                <w:szCs w:val="20"/>
              </w:rPr>
              <w:t>41.7</w:t>
            </w:r>
          </w:p>
        </w:tc>
      </w:tr>
    </w:tbl>
    <w:p>
      <w:pPr>
        <w:spacing w:line="480" w:lineRule="auto"/>
        <w:ind w:firstLine="720"/>
        <w:rPr>
          <w:rFonts w:ascii="Times New Roman" w:hAnsi="Times New Roman" w:cs="Times New Roman"/>
          <w:color w:val="000000" w:themeColor="text1"/>
          <w:sz w:val="24"/>
          <w:szCs w:val="24"/>
          <w14:textFill>
            <w14:solidFill>
              <w14:schemeClr w14:val="tx1"/>
            </w14:solidFill>
          </w14:textFill>
        </w:rPr>
      </w:pPr>
    </w:p>
    <w:p>
      <w:pPr>
        <w:spacing w:line="480" w:lineRule="auto"/>
        <w:ind w:firstLine="720"/>
        <w:rPr>
          <w:rFonts w:ascii="Times New Roman" w:hAnsi="Times New Roman" w:cs="Times New Roman"/>
          <w:color w:val="FF0000"/>
          <w:sz w:val="24"/>
          <w:szCs w:val="24"/>
        </w:rPr>
      </w:pPr>
      <w:r>
        <w:rPr>
          <w:rFonts w:ascii="Times New Roman" w:hAnsi="Times New Roman" w:cs="Times New Roman"/>
          <w:color w:val="000000" w:themeColor="text1"/>
          <w:sz w:val="24"/>
          <w:szCs w:val="24"/>
          <w14:textFill>
            <w14:solidFill>
              <w14:schemeClr w14:val="tx1"/>
            </w14:solidFill>
          </w14:textFill>
        </w:rPr>
        <w:t>According to Table 15, majority of respondents had their post-operative pain management practices improved. For instance, the majority of responders (87%) were able to use the PQRST to evaluate post-operative pain.</w:t>
      </w:r>
      <w:r>
        <w:rPr>
          <w:rFonts w:ascii="Times New Roman" w:hAnsi="Times New Roman" w:cs="Times New Roman"/>
          <w:sz w:val="24"/>
          <w:szCs w:val="24"/>
        </w:rPr>
        <w:t xml:space="preserve"> </w:t>
      </w:r>
      <w:r>
        <w:rPr>
          <w:rFonts w:ascii="Times New Roman" w:hAnsi="Times New Roman" w:cs="Times New Roman"/>
          <w:color w:val="000000" w:themeColor="text1"/>
          <w:sz w:val="24"/>
          <w:szCs w:val="24"/>
          <w14:textFill>
            <w14:solidFill>
              <w14:schemeClr w14:val="tx1"/>
            </w14:solidFill>
          </w14:textFill>
        </w:rPr>
        <w:t xml:space="preserve">Additionally, more than seventy-three percent (73.3%) of the respondents used the pain assessment scale to manage post-operative pain. Also, 75% of the respondents gave POP patients direct nursing care.  However, most respondents (71.7%) were unable to confirm the claims of the patients' pain by probing. </w:t>
      </w:r>
      <w:r>
        <w:rPr>
          <w:rFonts w:ascii="Times New Roman" w:hAnsi="Times New Roman" w:cs="Times New Roman"/>
          <w:sz w:val="24"/>
          <w:szCs w:val="24"/>
        </w:rPr>
        <w:t>Also, more than fifty eight percent (58.3%) of the responders did not inform patients about pain management techniques. Nevertheless, 56.7% of the respondents did not reevaluate the severity of the patients post operative pain following the intervention.</w:t>
      </w:r>
    </w:p>
    <w:p>
      <w:pPr>
        <w:spacing w:line="480" w:lineRule="auto"/>
        <w:rPr>
          <w:rFonts w:ascii="Times New Roman" w:hAnsi="Times New Roman" w:cs="Times New Roman"/>
          <w:color w:val="000000" w:themeColor="text1"/>
          <w:sz w:val="24"/>
          <w:szCs w:val="24"/>
          <w14:textFill>
            <w14:solidFill>
              <w14:schemeClr w14:val="tx1"/>
            </w14:solidFill>
          </w14:textFill>
        </w:rPr>
      </w:pPr>
    </w:p>
    <w:p/>
    <w:p/>
    <w:p/>
    <w:p/>
    <w:p>
      <w:pPr>
        <w:pStyle w:val="3"/>
        <w:spacing w:line="480" w:lineRule="auto"/>
        <w:jc w:val="center"/>
        <w:rPr>
          <w:rFonts w:ascii="Times New Roman" w:hAnsi="Times New Roman" w:cs="Times New Roman"/>
          <w:sz w:val="24"/>
          <w:szCs w:val="24"/>
        </w:rPr>
      </w:pPr>
    </w:p>
    <w:p>
      <w:pPr>
        <w:pStyle w:val="3"/>
        <w:spacing w:line="480" w:lineRule="auto"/>
        <w:jc w:val="center"/>
        <w:rPr>
          <w:rFonts w:ascii="Times New Roman" w:hAnsi="Times New Roman" w:cs="Times New Roman"/>
          <w:sz w:val="24"/>
          <w:szCs w:val="24"/>
        </w:rPr>
      </w:pPr>
    </w:p>
    <w:p>
      <w:pPr>
        <w:pStyle w:val="3"/>
        <w:spacing w:line="480" w:lineRule="auto"/>
        <w:jc w:val="center"/>
        <w:rPr>
          <w:rFonts w:ascii="Times New Roman" w:hAnsi="Times New Roman" w:cs="Times New Roman"/>
          <w:sz w:val="24"/>
          <w:szCs w:val="24"/>
        </w:rPr>
      </w:pPr>
    </w:p>
    <w:p>
      <w:pPr>
        <w:pStyle w:val="3"/>
        <w:spacing w:line="480" w:lineRule="auto"/>
        <w:jc w:val="center"/>
        <w:rPr>
          <w:rFonts w:ascii="Times New Roman" w:hAnsi="Times New Roman" w:cs="Times New Roman"/>
          <w:sz w:val="24"/>
          <w:szCs w:val="24"/>
        </w:rPr>
      </w:pPr>
    </w:p>
    <w:p>
      <w:pPr>
        <w:pStyle w:val="3"/>
        <w:spacing w:line="480" w:lineRule="auto"/>
        <w:jc w:val="center"/>
        <w:rPr>
          <w:rFonts w:ascii="Times New Roman" w:hAnsi="Times New Roman" w:cs="Times New Roman"/>
          <w:sz w:val="24"/>
          <w:szCs w:val="24"/>
        </w:rPr>
      </w:pPr>
    </w:p>
    <w:p>
      <w:pPr>
        <w:pStyle w:val="3"/>
        <w:spacing w:line="480" w:lineRule="auto"/>
        <w:jc w:val="center"/>
        <w:rPr>
          <w:rFonts w:ascii="Times New Roman" w:hAnsi="Times New Roman" w:cs="Times New Roman"/>
          <w:sz w:val="24"/>
          <w:szCs w:val="24"/>
        </w:rPr>
      </w:pPr>
    </w:p>
    <w:p>
      <w:pPr>
        <w:pStyle w:val="3"/>
        <w:spacing w:line="480" w:lineRule="auto"/>
        <w:jc w:val="center"/>
        <w:rPr>
          <w:rFonts w:ascii="Times New Roman" w:hAnsi="Times New Roman" w:cs="Times New Roman"/>
          <w:sz w:val="24"/>
          <w:szCs w:val="24"/>
        </w:rPr>
      </w:pPr>
    </w:p>
    <w:p/>
    <w:p/>
    <w:p/>
    <w:p>
      <w:pPr>
        <w:pStyle w:val="3"/>
        <w:spacing w:line="480" w:lineRule="auto"/>
        <w:jc w:val="center"/>
        <w:rPr>
          <w:rFonts w:ascii="Times New Roman" w:hAnsi="Times New Roman" w:cs="Times New Roman"/>
          <w:sz w:val="24"/>
          <w:szCs w:val="24"/>
        </w:rPr>
      </w:pPr>
      <w:r>
        <w:rPr>
          <w:rFonts w:ascii="Times New Roman" w:hAnsi="Times New Roman" w:cs="Times New Roman"/>
          <w:sz w:val="24"/>
          <w:szCs w:val="24"/>
        </w:rPr>
        <w:t>Chapter Five</w:t>
      </w:r>
      <w:bookmarkEnd w:id="233"/>
      <w:r>
        <w:rPr>
          <w:rFonts w:ascii="Times New Roman" w:hAnsi="Times New Roman" w:cs="Times New Roman"/>
          <w:sz w:val="24"/>
          <w:szCs w:val="24"/>
        </w:rPr>
        <w:t>: Discussion of Findings</w:t>
      </w:r>
      <w:bookmarkEnd w:id="235"/>
      <w:bookmarkEnd w:id="236"/>
    </w:p>
    <w:p>
      <w:pPr>
        <w:spacing w:line="48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The results of the current research survey are presented in detail in this chapter. The study's conclusions are evaluated in further detail, with references to and evaluations of earlier published studies. The report's consequences are wide-ranging, as are its suggestions for future research and teaching projects. The goal of the current study was to determine how the pain assessment scale integration affected the nurses' knowledge, attitudes, and practices about post-operative pain care in the surgical ward at Mengo Hospital.</w:t>
      </w:r>
      <w:r>
        <w:rPr>
          <w:rFonts w:ascii="Times New Roman" w:hAnsi="Times New Roman" w:cs="Times New Roman"/>
          <w:sz w:val="24"/>
          <w:szCs w:val="24"/>
        </w:rPr>
        <w:t xml:space="preserve"> The results raise concerns about the respondents' unacceptably low level of knowledge regarding how to manage patients' postoperative pain.</w:t>
      </w:r>
    </w:p>
    <w:p>
      <w:pPr>
        <w:tabs>
          <w:tab w:val="left" w:pos="9360"/>
        </w:tabs>
        <w:spacing w:before="100" w:beforeAutospacing="1" w:after="100" w:afterAutospacing="1" w:line="480" w:lineRule="auto"/>
        <w:ind w:firstLine="63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theory of clinical coaching in nursing and midwifery was used as a flame work to the study findings. Application of the theory made it easy for the researcher to deliver the educational  intervention to nurses and midwives at their workplace which helped them attain new knowledge, clinical skills, and practice </w:t>
      </w:r>
      <w:r>
        <w:rPr>
          <w:rFonts w:ascii="Times New Roman" w:hAnsi="Times New Roman" w:cs="Times New Roman"/>
          <w:bCs/>
          <w:sz w:val="24"/>
          <w:szCs w:val="24"/>
          <w:shd w:val="clear" w:color="auto" w:fill="FFFFFF"/>
        </w:rPr>
        <w:fldChar w:fldCharType="begin" w:fldLock="1"/>
      </w:r>
      <w:r>
        <w:rPr>
          <w:rFonts w:ascii="Times New Roman" w:hAnsi="Times New Roman" w:cs="Times New Roman"/>
          <w:bCs/>
          <w:sz w:val="24"/>
          <w:szCs w:val="24"/>
          <w:shd w:val="clear" w:color="auto" w:fill="FFFFFF"/>
        </w:rPr>
        <w:instrText xml:space="preserve">ADDIN CSL_CITATION {"citationItems":[{"id":"ITEM-1","itemData":{"DOI":"10.1016/j.apnr.2020.151314","PMID":"32650886","abstract":"Background: Lack of knowledge about pain is a common barrier to effective pain management. Educational pain management programs directed to health care professionals can improve knowledge and attitudes about pain. However, changing practice is more challenging, but can be achieved with more targeted educational interventions within the clinical setting. Objectives: The main objective of this study was to examine which of four separate pain management educational designs improved nurses' knowledge and attitudes toward pain over time. Secondary objectives were to compare and contrast nurse's knowledge and attitudes toward pain before and after the educational intervention. Design: This randomized controlled trial using a four Solomon group design. Setting: This study took place in Dubai Hospital, Dubai Health Authority, in United Arab Emirates between January 2019-April 2019. Participants: The sample consisted of 200 registered nurses who were randomly selected and assigned into four separate educational groups. Participants had at least one year of experience in Dubai hospital prior to data collection. Results: paired t-test has shown the experimental group scored significantly higher than the control group (p &lt; 0.01). One-way ANOVA revealed significant post-test score differences between groups p &lt; 0.001. A repeated measures ANOVA with a Greenhouse-Geisser correction determined that mean scores over three months was not statistically significant. Indicating that the level of knowledge did not change over time within any of the groups. Conclusion and recommendations: The most important findings were the relatively low pre-test knowledge scores among staff nurses, and the significant improvement in knowledge for most test items following the educational intervention. Moreover, the level of knowledge and attitudes were maintained over three months. The pain management program proved to be effective in improving nurses' pain knowledge, attitudes, and assessment practices. Nurses in the experimental group increased their pain score significantly after the pain management program. Registration number:","author":[{"dropping-particle":"","family":"Salim Ahmed Nezar, Tuffaha Ghassan Mohammed","given":"Brant M. Jeannine","non-dropping-particle":"","parse-names":false,"suffix":""}],"container-title":"National Library of Medicine","id":"ITEM-1","issued":{"date-parts":[["2020"]]},"title":"Impact of a pain management program on nurses' knowledge and attitude toward pain in United Arab Emirates: Experimental-four Solomon group design","type":"article-journal"},"uris":["http://www.mendeley.com/documents/?uuid=69a15e5a-f603-4dfd-88e4-0d2dff1590cf"]}],"mendeley":{"formattedCitation":"(Salim Ahmed Nezar, Tuffaha Ghassan Mohammed, 2020)","manualFormatting":"(Salim, Tuffaha &amp; Brant, 2020)","plainTextFormattedCitation":"(Salim Ahmed Nezar, Tuffaha Ghassan Mohammed, 2020)","previouslyFormattedCitation":"(Salim Ahmed Nezar, Tuffaha Ghassan Mohammed, 2020)"},"properties":{"noteIndex":0},"schema":"https://github.com/citation-style-language/schema/raw/master/csl-citation.json"}</w:instrText>
      </w:r>
      <w:r>
        <w:rPr>
          <w:rFonts w:ascii="Times New Roman" w:hAnsi="Times New Roman" w:cs="Times New Roman"/>
          <w:bCs/>
          <w:sz w:val="24"/>
          <w:szCs w:val="24"/>
          <w:shd w:val="clear" w:color="auto" w:fill="FFFFFF"/>
        </w:rPr>
        <w:fldChar w:fldCharType="separate"/>
      </w:r>
      <w:r>
        <w:rPr>
          <w:rFonts w:ascii="Times New Roman" w:hAnsi="Times New Roman" w:cs="Times New Roman"/>
          <w:bCs/>
          <w:sz w:val="24"/>
          <w:szCs w:val="24"/>
          <w:shd w:val="clear" w:color="auto" w:fill="FFFFFF"/>
        </w:rPr>
        <w:t>(Salim, Tuffaha &amp; Brant, 2020)</w:t>
      </w:r>
      <w:r>
        <w:rPr>
          <w:rFonts w:ascii="Times New Roman" w:hAnsi="Times New Roman" w:cs="Times New Roman"/>
          <w:bCs/>
          <w:sz w:val="24"/>
          <w:szCs w:val="24"/>
          <w:shd w:val="clear" w:color="auto" w:fill="FFFFFF"/>
        </w:rPr>
        <w:fldChar w:fldCharType="end"/>
      </w:r>
      <w:r>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 xml:space="preserve"> The educational intervention enhanced nurses' understanding of pain assessment, work attitudes, and the application of administering appropriate analgesia in accordance with the intensity of pain. Consequently, leading to the provision of quality services to patients with post-operative pain </w:t>
      </w:r>
      <w:r>
        <w:rPr>
          <w:rFonts w:ascii="Times New Roman" w:hAnsi="Times New Roman" w:cs="Times New Roman"/>
          <w:bCs/>
          <w:sz w:val="24"/>
          <w:szCs w:val="24"/>
          <w:shd w:val="clear" w:color="auto" w:fill="FFFFFF"/>
        </w:rPr>
        <w:t>(</w:t>
      </w:r>
      <w:r>
        <w:rPr>
          <w:rFonts w:ascii="Times New Roman" w:hAnsi="Times New Roman" w:cs="Times New Roman"/>
          <w:bCs/>
          <w:sz w:val="24"/>
          <w:szCs w:val="24"/>
          <w:shd w:val="clear" w:color="auto" w:fill="FFFFFF"/>
        </w:rPr>
        <w:fldChar w:fldCharType="begin" w:fldLock="1"/>
      </w:r>
      <w:r>
        <w:rPr>
          <w:rFonts w:ascii="Times New Roman" w:hAnsi="Times New Roman" w:cs="Times New Roman"/>
          <w:bCs/>
          <w:sz w:val="24"/>
          <w:szCs w:val="24"/>
          <w:shd w:val="clear" w:color="auto" w:fill="FFFFFF"/>
        </w:rPr>
        <w:instrText xml:space="preserve">ADDIN CSL_CITATION {"citationItems":[{"id":"ITEM-1","itemData":{"abstract":"Contemporary demands for workplace learning and development in real time have guided one health service to create a new role, that of the clinical coach. Clinical coaches provide point of care educational interventions to achieve clinical skill and practice development for nurses and midwives and to stimulate a culture of learning and development within the organisation. Clinical coaches use coaching processes and mantras, facilitation skills, practice development principles, adult learning strategies, supported practice and clinical assessment tools to achieve these goals within a person-centred philosophy. Specific point of care accountabilities of the coaches related to staff development include supporting clinical induction requirements, supporting preceptor and learner practices, supporting evidence-based clinical development, ensuring that mandatory training requirements are met, and coaching for the maintenance of safe and competent practice.","author":[{"dropping-particle":"","family":"A.Faithfull-Byrne, L. Thompson, K., w. Scafer, M. Williamson, W. Cross","given":"C. Moss","non-dropping-particle":"","parse-names":false,"suffix":""}],"container-title":"Australian College of Nursing","id":"ITEM-1","issued":{"date-parts":[["2017"]]},"title":"Clinical coaches in nursing and midwifery practice: Facilitating point of care workplace learning and development","type":"article-journal"},"uris":["http://www.mendeley.com/documents/?uuid=c4b8235f-acf7-4724-ba90-090c6338c036"]}],"mendeley":{"formattedCitation":"(A.Faithfull-Byrne, L. Thompson, K., w. Scafer, M. Williamson, W. Cross, 2017)","manualFormatting":"Faithfull-Byrne,  2017)","plainTextFormattedCitation":"(A.Faithfull-Byrne, L. Thompson, K., w. Scafer, M. Williamson, W. Cross, 2017)","previouslyFormattedCitation":"(A.Faithfull-Byrne, L. Thompson, K., w. Scafer, M. Williamson, W. Cross, 2017)"},"properties":{"noteIndex":0},"schema":"https://github.com/citation-style-language/schema/raw/master/csl-citation.json"}</w:instrText>
      </w:r>
      <w:r>
        <w:rPr>
          <w:rFonts w:ascii="Times New Roman" w:hAnsi="Times New Roman" w:cs="Times New Roman"/>
          <w:bCs/>
          <w:sz w:val="24"/>
          <w:szCs w:val="24"/>
          <w:shd w:val="clear" w:color="auto" w:fill="FFFFFF"/>
        </w:rPr>
        <w:fldChar w:fldCharType="separate"/>
      </w:r>
      <w:r>
        <w:rPr>
          <w:rFonts w:ascii="Times New Roman" w:hAnsi="Times New Roman" w:cs="Times New Roman"/>
          <w:bCs/>
          <w:sz w:val="24"/>
          <w:szCs w:val="24"/>
          <w:shd w:val="clear" w:color="auto" w:fill="FFFFFF"/>
        </w:rPr>
        <w:t>Faithfull-Byrne,  2017)</w:t>
      </w:r>
      <w:r>
        <w:rPr>
          <w:rFonts w:ascii="Times New Roman" w:hAnsi="Times New Roman" w:cs="Times New Roman"/>
          <w:bCs/>
          <w:sz w:val="24"/>
          <w:szCs w:val="24"/>
          <w:shd w:val="clear" w:color="auto" w:fill="FFFFFF"/>
        </w:rPr>
        <w:fldChar w:fldCharType="end"/>
      </w:r>
      <w:r>
        <w:rPr>
          <w:rFonts w:ascii="Times New Roman" w:hAnsi="Times New Roman" w:cs="Times New Roman"/>
          <w:bCs/>
          <w:sz w:val="24"/>
          <w:szCs w:val="24"/>
          <w:shd w:val="clear" w:color="auto" w:fill="FFFFFF"/>
        </w:rPr>
        <w:t>.</w:t>
      </w:r>
      <w:r>
        <w:rPr>
          <w:rFonts w:ascii="Times New Roman" w:hAnsi="Times New Roman" w:cs="Times New Roman"/>
          <w:sz w:val="24"/>
          <w:szCs w:val="24"/>
          <w:shd w:val="clear" w:color="auto" w:fill="FFFFFF"/>
        </w:rPr>
        <w:t xml:space="preserve"> </w:t>
      </w:r>
    </w:p>
    <w:p>
      <w:pPr>
        <w:pStyle w:val="3"/>
        <w:spacing w:line="480" w:lineRule="auto"/>
        <w:rPr>
          <w:rFonts w:ascii="Times New Roman" w:hAnsi="Times New Roman" w:cs="Times New Roman"/>
          <w:b w:val="0"/>
          <w:sz w:val="24"/>
          <w:szCs w:val="24"/>
        </w:rPr>
      </w:pPr>
      <w:bookmarkStart w:id="240" w:name="_Toc142753431"/>
      <w:bookmarkStart w:id="241" w:name="_Toc134604191"/>
      <w:r>
        <w:rPr>
          <w:rFonts w:ascii="Times New Roman" w:hAnsi="Times New Roman" w:cs="Times New Roman"/>
          <w:sz w:val="24"/>
          <w:szCs w:val="24"/>
        </w:rPr>
        <w:t>Nurses’ knowledge of the management of post-operative pain</w:t>
      </w:r>
      <w:bookmarkEnd w:id="240"/>
      <w:bookmarkEnd w:id="241"/>
    </w:p>
    <w:p>
      <w:pPr>
        <w:spacing w:line="48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Based on the survey, the majority of the nurses in the Mengo surgical ward knew the correct way of rating POP on the 0-10 NRS. The findings of Albaqawi, Maude, and Shawha-Akl (2016) that nurses lack understanding regarding pain evaluation were not supported by these studies. Additionally, the patient's low pain rating score is comparable with Maestro-Gonzalez et al (2021). It is also interesting that the majority of surgical ward nurses thought that the attending physician and the patient's primary nurse, rather than the patient himself, should determine the patient's pain level.</w:t>
      </w:r>
    </w:p>
    <w:p>
      <w:pPr>
        <w:spacing w:line="480" w:lineRule="auto"/>
        <w:ind w:firstLine="720"/>
        <w:jc w:val="both"/>
        <w:rPr>
          <w:rFonts w:ascii="Times New Roman" w:hAnsi="Times New Roman" w:cs="Times New Roman"/>
          <w:bCs/>
          <w:color w:val="C00000"/>
          <w:sz w:val="24"/>
          <w:szCs w:val="24"/>
        </w:rPr>
      </w:pPr>
      <w:r>
        <w:rPr>
          <w:rFonts w:ascii="Times New Roman" w:hAnsi="Times New Roman" w:cs="Times New Roman"/>
          <w:color w:val="000000" w:themeColor="text1"/>
          <w:sz w:val="24"/>
          <w:szCs w:val="24"/>
          <w14:textFill>
            <w14:solidFill>
              <w14:schemeClr w14:val="tx1"/>
            </w14:solidFill>
          </w14:textFill>
        </w:rPr>
        <w:t>The most intriguing finding was that a mass of participants at Mengo Hospital mistakenly believed vital signs to be valid measures of patient pain intensity. Inline, n</w:t>
      </w:r>
      <w:r>
        <w:rPr>
          <w:rFonts w:ascii="Times New Roman" w:hAnsi="Times New Roman" w:cs="Times New Roman"/>
          <w:sz w:val="24"/>
          <w:szCs w:val="24"/>
        </w:rPr>
        <w:t>urses believed vital signs to be consistently reliable predictors of patient pain intensity, according to Khalil (2019).</w:t>
      </w:r>
      <w:r>
        <w:rPr>
          <w:rFonts w:ascii="Times New Roman" w:hAnsi="Times New Roman" w:cs="Times New Roman"/>
          <w:color w:val="000000" w:themeColor="text1"/>
          <w:sz w:val="24"/>
          <w:szCs w:val="24"/>
          <w14:textFill>
            <w14:solidFill>
              <w14:schemeClr w14:val="tx1"/>
            </w14:solidFill>
          </w14:textFill>
        </w:rPr>
        <w:t xml:space="preserve"> Accurate pain assessment is hampered by nurses' belief that shifts in vital signs are a reliable indicator of a patient's level of suffering. Patients can obtain successful pain management if pain evaluation and management techniques based on scientific knowledge and research are applied consistently to patient care. This can prevent stress and dissatisfaction with patient care.</w:t>
      </w:r>
      <w:r>
        <w:rPr>
          <w:rFonts w:ascii="Times New Roman" w:hAnsi="Times New Roman" w:cs="Times New Roman"/>
          <w:bCs/>
          <w:color w:val="000000" w:themeColor="text1"/>
          <w:sz w:val="24"/>
          <w:szCs w:val="24"/>
          <w14:textFill>
            <w14:solidFill>
              <w14:schemeClr w14:val="tx1"/>
            </w14:solidFill>
          </w14:textFill>
        </w:rPr>
        <w:fldChar w:fldCharType="begin" w:fldLock="1"/>
      </w:r>
      <w:r>
        <w:rPr>
          <w:rFonts w:ascii="Times New Roman" w:hAnsi="Times New Roman" w:cs="Times New Roman"/>
          <w:bCs/>
          <w:color w:val="000000" w:themeColor="text1"/>
          <w:sz w:val="24"/>
          <w:szCs w:val="24"/>
          <w14:textFill>
            <w14:solidFill>
              <w14:schemeClr w14:val="tx1"/>
            </w14:solidFill>
          </w14:textFill>
        </w:rPr>
        <w:instrText xml:space="preserve">ADDIN CSL_CITATION {"citationItems":[{"id":"ITEM-1","itemData":{"DOI":"10.1111/j.1440-172X.2010.01872.x","ISSN":"13227114","PMID":"20854345","abstract":"It is well documented that pain management and pain assessment is an indispensible part of the nursing care of patients. This study sought to quantify the current knowledge and attitudes of nursing students in Iran about pain management. We conducted a cross-sectional study using a well-validated questionnaire entitled the 'Knowledge and Attitudes Regarding Pain Tool', previously used to evaluate undergraduate nursing students. Results from the survey questionnaire showed that there was a severe deficit in knowledge relating to pain and its management. It is argued that there is a real need for improving the content of pain and its management in the undergraduate nursing education curriculum, which might improve the delivery of optimal nursing care of patients. The limitations of the study are discussed and some recommendations are made for reforming pain management education for future practice. © 2010 Blackwell Publishing Asia Pty Ltd.","author":[{"dropping-particle":"","family":"Rahimi-Madiseh","given":"Mohammad","non-dropping-particle":"","parse-names":false,"suffix":""},{"dropping-particle":"","family":"Tavakol","given":"Mohsen","non-dropping-particle":"","parse-names":false,"suffix":""},{"dropping-particle":"","family":"Dennick","given":"Reg","non-dropping-particle":"","parse-names":false,"suffix":""}],"container-title":"International Journal of Nursing Practice","id":"ITEM-1","issue":"5","issued":{"date-parts":[["2010"]]},"page":"478-483","title":"A quantitative study of Iranian nursing students' knowledge and attitudes towards pain: Implication for education","type":"article-journal","volume":"16"},"uris":["http://www.mendeley.com/documents/?uuid=2388124f-201c-4e34-8a6b-097752712bf6"]}],"mendeley":{"formattedCitation":"(Rahimi-Madiseh et al., 2010)","manualFormatting":"(Rahimi-Madiseh, Tavakol &amp; Dennick, 2010)","plainTextFormattedCitation":"(Rahimi-Madiseh et al., 2010)","previouslyFormattedCitation":"(Rahimi-Madiseh et al., 2010)"},"properties":{"noteIndex":0},"schema":"https://github.com/citation-style-language/schema/raw/master/csl-citation.json"}</w:instrText>
      </w:r>
      <w:r>
        <w:rPr>
          <w:rFonts w:ascii="Times New Roman" w:hAnsi="Times New Roman" w:cs="Times New Roman"/>
          <w:bCs/>
          <w:color w:val="000000" w:themeColor="text1"/>
          <w:sz w:val="24"/>
          <w:szCs w:val="24"/>
          <w14:textFill>
            <w14:solidFill>
              <w14:schemeClr w14:val="tx1"/>
            </w14:solidFill>
          </w14:textFill>
        </w:rPr>
        <w:fldChar w:fldCharType="separate"/>
      </w:r>
      <w:r>
        <w:rPr>
          <w:rFonts w:ascii="Times New Roman" w:hAnsi="Times New Roman" w:cs="Times New Roman"/>
          <w:bCs/>
          <w:color w:val="000000" w:themeColor="text1"/>
          <w:sz w:val="24"/>
          <w:szCs w:val="24"/>
          <w14:textFill>
            <w14:solidFill>
              <w14:schemeClr w14:val="tx1"/>
            </w14:solidFill>
          </w14:textFill>
        </w:rPr>
        <w:t>(Rahimi-Madiseh, Tavakol &amp; Dennick, 2010)</w:t>
      </w:r>
      <w:r>
        <w:rPr>
          <w:rFonts w:ascii="Times New Roman" w:hAnsi="Times New Roman" w:cs="Times New Roman"/>
          <w:bCs/>
          <w:color w:val="000000" w:themeColor="text1"/>
          <w:sz w:val="24"/>
          <w:szCs w:val="24"/>
          <w14:textFill>
            <w14:solidFill>
              <w14:schemeClr w14:val="tx1"/>
            </w14:solidFill>
          </w14:textFill>
        </w:rPr>
        <w:fldChar w:fldCharType="end"/>
      </w:r>
      <w:r>
        <w:rPr>
          <w:rFonts w:ascii="Times New Roman" w:hAnsi="Times New Roman" w:cs="Times New Roman"/>
          <w:bCs/>
          <w:sz w:val="24"/>
          <w:szCs w:val="24"/>
        </w:rPr>
        <w:t>.</w:t>
      </w:r>
    </w:p>
    <w:p>
      <w:pPr>
        <w:spacing w:line="48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In this contemporaneous study, analysis of the items that measured knowledge about assessing pain was generally positive, but several misunderstandings in this particular topic surfaced. The patient's self-report of the degree of pain is the most accurate and trustworthy indicator of the presence of pain, according to previously recognized standards</w:t>
      </w:r>
      <w:r>
        <w:rPr>
          <w:rFonts w:ascii="Times New Roman" w:hAnsi="Times New Roman" w:cs="Times New Roman"/>
          <w:bCs/>
          <w:color w:val="000000" w:themeColor="text1"/>
          <w:sz w:val="24"/>
          <w:szCs w:val="24"/>
          <w14:textFill>
            <w14:solidFill>
              <w14:schemeClr w14:val="tx1"/>
            </w14:solidFill>
          </w14:textFill>
        </w:rPr>
        <w:fldChar w:fldCharType="begin" w:fldLock="1"/>
      </w:r>
      <w:r>
        <w:rPr>
          <w:rFonts w:ascii="Times New Roman" w:hAnsi="Times New Roman" w:cs="Times New Roman"/>
          <w:bCs/>
          <w:color w:val="000000" w:themeColor="text1"/>
          <w:sz w:val="24"/>
          <w:szCs w:val="24"/>
          <w14:textFill>
            <w14:solidFill>
              <w14:schemeClr w14:val="tx1"/>
            </w14:solidFill>
          </w14:textFill>
        </w:rPr>
        <w:instrText xml:space="preserve">ADDIN CSL_CITATION {"citationItems":[{"id":"ITEM-1","itemData":{"DOI":"10.4314/thrb.v16i1.7","ISSN":"18216404","PMID":"26867272","abstract":"Inadequately controlled postoperative pain (POP) subjects individuals to complications which may be fatal or leading to prolonged hospital stay. Complications from inadequately controlled POP may alleviate the existing shortage of hospital human resource for health in health facilities in developing countries. The burden and challenges of POP management at health facilities in Tanzania is not known. This study was therefore carried out to evaluate postoperative pain management and patient satisfaction with care given at Kilimanjaro Christian Medical Centre (KCMC). This descriptive prospective hospital based study, was conducted at the Kilimanjaro Christian Medical Centre in Moshi, Tanzania from August 2011 to March 2012. POP and patients' satisfaction with pain relief scores were assessed using pain and satisfaction numerical rating scales. Pain assessment was done at 24 hours and 48 hours after operation. Satisfaction was assessed on 48 hours post surgery. All adult patient aged 18 years and above whom were operated in general surgery ward, KCMC and accepted by signing consent were involved in the study. Patients suffering from nervous system were excluded from the study. A total number of 124 patients were recruited and participated in the study. Sixty-five (52.4%) were males and 59 (47.6%) females. Mean age (SD) years 40.9 ± 15.4. The largest percentage of individuals had mild pain both at rest (45.2%) and during movement (44.4%). Patients whose analgesia was administered intravenously were more likely to be satisfied with POP management than those given intramuscular analgesics (P= 0.028). Analgesia used in combination increased significantly the proportion of pain free individuals 48 hours postoperative compared to 24 hours postoperative (P= 0.003). In conclusion, the postoperative pain management is still a challenge in our centre as nearly half of the patient had mild pain in the first 48 hours post surgery.","author":[{"dropping-particle":"","family":"Masigati","given":"Herbert G.","non-dropping-particle":"","parse-names":false,"suffix":""},{"dropping-particle":"","family":"Chilonga","given":"Kondo S.","non-dropping-particle":"","parse-names":false,"suffix":""}],"container-title":"Tanzania Journal of Health Research","id":"ITEM-1","issue":"1","issued":{"date-parts":[["2014"]]},"title":"Postoperative pain management outcomes among adults treated at a tertiary hospital in Moshi, Tanzania","type":"article-journal","volume":"16"},"uris":["http://www.mendeley.com/documents/?uuid=b7f7f79a-e874-4a8b-bae8-88a639bd37eb"]}],"mendeley":{"formattedCitation":"(Masigati &amp; Chilonga, 2014)","plainTextFormattedCitation":"(Masigati &amp; Chilonga, 2014)","previouslyFormattedCitation":"(Masigati &amp; Chilonga, 2014)"},"properties":{"noteIndex":0},"schema":"https://github.com/citation-style-language/schema/raw/master/csl-citation.json"}</w:instrText>
      </w:r>
      <w:r>
        <w:rPr>
          <w:rFonts w:ascii="Times New Roman" w:hAnsi="Times New Roman" w:cs="Times New Roman"/>
          <w:bCs/>
          <w:color w:val="000000" w:themeColor="text1"/>
          <w:sz w:val="24"/>
          <w:szCs w:val="24"/>
          <w14:textFill>
            <w14:solidFill>
              <w14:schemeClr w14:val="tx1"/>
            </w14:solidFill>
          </w14:textFill>
        </w:rPr>
        <w:fldChar w:fldCharType="separate"/>
      </w:r>
      <w:r>
        <w:rPr>
          <w:rFonts w:ascii="Times New Roman" w:hAnsi="Times New Roman" w:cs="Times New Roman"/>
          <w:bCs/>
          <w:color w:val="000000" w:themeColor="text1"/>
          <w:sz w:val="24"/>
          <w:szCs w:val="24"/>
          <w14:textFill>
            <w14:solidFill>
              <w14:schemeClr w14:val="tx1"/>
            </w14:solidFill>
          </w14:textFill>
        </w:rPr>
        <w:t>(Masigati &amp; Chilonga, 2014 &amp;</w:t>
      </w:r>
      <w:r>
        <w:rPr>
          <w:rFonts w:ascii="Times New Roman" w:hAnsi="Times New Roman" w:cs="Times New Roman"/>
          <w:bCs/>
          <w:color w:val="000000" w:themeColor="text1"/>
          <w:sz w:val="24"/>
          <w:szCs w:val="24"/>
          <w14:textFill>
            <w14:solidFill>
              <w14:schemeClr w14:val="tx1"/>
            </w14:solidFill>
          </w14:textFill>
        </w:rPr>
        <w:fldChar w:fldCharType="end"/>
      </w:r>
      <w:r>
        <w:rPr>
          <w:rFonts w:ascii="Times New Roman" w:hAnsi="Times New Roman" w:cs="Times New Roman"/>
          <w:bCs/>
          <w:color w:val="000000" w:themeColor="text1"/>
          <w:sz w:val="24"/>
          <w:szCs w:val="24"/>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fldChar w:fldCharType="begin" w:fldLock="1"/>
      </w:r>
      <w:r>
        <w:rPr>
          <w:rFonts w:ascii="Times New Roman" w:hAnsi="Times New Roman" w:cs="Times New Roman"/>
          <w:bCs/>
          <w:color w:val="000000" w:themeColor="text1"/>
          <w:sz w:val="24"/>
          <w:szCs w:val="24"/>
          <w14:textFill>
            <w14:solidFill>
              <w14:schemeClr w14:val="tx1"/>
            </w14:solidFill>
          </w14:textFill>
        </w:rPr>
        <w:instrText xml:space="preserve">ADDIN CSL_CITATION {"citationItems":[{"id":"ITEM-1","itemData":{"DOI":"10.5799/ahinjs.01.2011.04.0100","ISSN":"1309-8578","author":[{"dropping-particle":"","family":"Yüceer","given":"Sevilay","non-dropping-particle":"","parse-names":false,"suffix":""}],"container-title":"Journal of Clinical and Experimental Investigations","id":"ITEM-1","issue":"4","issued":{"date-parts":[["2011"]]},"page":"474-478","title":"Nursing approaches in the postoperative pain management","type":"article-journal","volume":"2"},"uris":["http://www.mendeley.com/documents/?uuid=e1241b6d-35a2-403a-bac3-2278a8c76495"]}],"mendeley":{"formattedCitation":"(Yüceer, 2011)","plainTextFormattedCitation":"(Yüceer, 2011)","previouslyFormattedCitation":"(Yüceer, 2011)"},"properties":{"noteIndex":0},"schema":"https://github.com/citation-style-language/schema/raw/master/csl-citation.json"}</w:instrText>
      </w:r>
      <w:r>
        <w:rPr>
          <w:rFonts w:ascii="Times New Roman" w:hAnsi="Times New Roman" w:cs="Times New Roman"/>
          <w:bCs/>
          <w:color w:val="000000" w:themeColor="text1"/>
          <w:sz w:val="24"/>
          <w:szCs w:val="24"/>
          <w14:textFill>
            <w14:solidFill>
              <w14:schemeClr w14:val="tx1"/>
            </w14:solidFill>
          </w14:textFill>
        </w:rPr>
        <w:fldChar w:fldCharType="separate"/>
      </w:r>
      <w:r>
        <w:rPr>
          <w:rFonts w:ascii="Times New Roman" w:hAnsi="Times New Roman" w:cs="Times New Roman"/>
          <w:bCs/>
          <w:color w:val="000000" w:themeColor="text1"/>
          <w:sz w:val="24"/>
          <w:szCs w:val="24"/>
          <w14:textFill>
            <w14:solidFill>
              <w14:schemeClr w14:val="tx1"/>
            </w14:solidFill>
          </w14:textFill>
        </w:rPr>
        <w:t>Yüceer, 2011)</w:t>
      </w:r>
      <w:r>
        <w:rPr>
          <w:rFonts w:ascii="Times New Roman" w:hAnsi="Times New Roman" w:cs="Times New Roman"/>
          <w:bCs/>
          <w:color w:val="000000" w:themeColor="text1"/>
          <w:sz w:val="24"/>
          <w:szCs w:val="24"/>
          <w14:textFill>
            <w14:solidFill>
              <w14:schemeClr w14:val="tx1"/>
            </w14:solidFill>
          </w14:textFill>
        </w:rPr>
        <w:fldChar w:fldCharType="end"/>
      </w:r>
      <w:r>
        <w:rPr>
          <w:rFonts w:ascii="Times New Roman" w:hAnsi="Times New Roman" w:cs="Times New Roman"/>
          <w:bCs/>
          <w:sz w:val="24"/>
          <w:szCs w:val="24"/>
        </w:rPr>
        <w:t>.</w:t>
      </w:r>
      <w:r>
        <w:rPr>
          <w:rFonts w:ascii="Times New Roman" w:hAnsi="Times New Roman" w:cs="Times New Roman"/>
          <w:color w:val="C00000"/>
          <w:sz w:val="24"/>
          <w:szCs w:val="24"/>
        </w:rPr>
        <w:t xml:space="preserve"> </w:t>
      </w:r>
      <w:r>
        <w:rPr>
          <w:rFonts w:ascii="Times New Roman" w:hAnsi="Times New Roman" w:cs="Times New Roman"/>
          <w:sz w:val="24"/>
          <w:szCs w:val="24"/>
        </w:rPr>
        <w:t>The majority of participants in this survey accurately concluded that the patient is the best judge of whether or not there is pain.</w:t>
      </w:r>
    </w:p>
    <w:p>
      <w:pPr>
        <w:spacing w:line="48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The patient is the most accurate judge of the presence of pain, according to a significant issue that emerged in this recent study of respondents. The findings showed that most nurses were more likely to believe the pain score of the patient who was grimacing than the one who was smiling when respondents were asked to rate both patients' degrees of pain intensity. This contradicts the adage that states that pain is whatever the person feeling it claims it to be </w:t>
      </w:r>
      <w:r>
        <w:rPr>
          <w:rFonts w:ascii="Times New Roman" w:hAnsi="Times New Roman" w:cs="Times New Roman"/>
          <w:bCs/>
          <w:color w:val="000000" w:themeColor="text1"/>
          <w:sz w:val="24"/>
          <w:szCs w:val="24"/>
          <w14:textFill>
            <w14:solidFill>
              <w14:schemeClr w14:val="tx1"/>
            </w14:solidFill>
          </w14:textFill>
        </w:rPr>
        <w:fldChar w:fldCharType="begin" w:fldLock="1"/>
      </w:r>
      <w:r>
        <w:rPr>
          <w:rFonts w:ascii="Times New Roman" w:hAnsi="Times New Roman" w:cs="Times New Roman"/>
          <w:bCs/>
          <w:color w:val="000000" w:themeColor="text1"/>
          <w:sz w:val="24"/>
          <w:szCs w:val="24"/>
          <w14:textFill>
            <w14:solidFill>
              <w14:schemeClr w14:val="tx1"/>
            </w14:solidFill>
          </w14:textFill>
        </w:rPr>
        <w:instrText xml:space="preserve">ADDIN CSL_CITATION {"citationItems":[{"id":"ITEM-1","itemData":{"DOI":"10.1155/2019/9091467","ISSN":"2090-1429","abstract":" Background. Postoperative pain remains one of the greatest concerns for patients following surgical procedures. Nurses play an essential role in postoperative pain assessment and management, especially within the first few days after surgery. Objective. The study investigated how nurses in a resource-constraint hospital in Ghana assessed and managed postoperative pain. Methods. This was an explorative qualitative study involving 12 registered nurses practising in the largest referral hospital in Ghana. Data was gathered using a semistructured interview guide. Demographic characteristics of participants were summarized using descriptive statistics. Data were analysed using Kvale’s three phases for analysing qualitative data. First, the entire text was read again to identify meaning units which were then condensed. Second, the condensed texts were read again and interpreted. Finally, the condensed data containing similar meaning were coded and then sorted into subthemes. Results. It was found that some nurses have never used any pain assessment tool due to lack of standard tool for assessing postoperative pain. The majority of nurses reported that managing pain by using medication was the norm especially in the first 24 hours after surgery. Conclusion. Although participants may have some knowledge of assessing and managing postoperative pain, this knowledge was not largely used to manage postoperative pain effectively, partly because of resource constraints. Therefore, there is the need for adequate training and with provision of resources, it is imperative that the use of standardized pain assessment scales could help in the proper assessment and management of postoperative pain in this setting. ","author":[{"dropping-particle":"","family":"Mahama","given":"Faisal","non-dropping-particle":"","parse-names":false,"suffix":""},{"dropping-particle":"","family":"Ninnoni","given":"Jerry P. K.","non-dropping-particle":"","parse-names":false,"suffix":""}],"container-title":"Nursing Research and Practice","id":"ITEM-1","issued":{"date-parts":[["2019"]]},"page":"1-7","title":"Assessment and Management of Postoperative Pain among Nurses at a Resource-Constraint Teaching Hospital in Ghana","type":"article-journal","volume":"2019"},"uris":["http://www.mendeley.com/documents/?uuid=913ba63c-f6cb-436f-815a-cfce17096014"]}],"mendeley":{"formattedCitation":"(Mahama &amp; Ninnoni, 2019)","plainTextFormattedCitation":"(Mahama &amp; Ninnoni, 2019)","previouslyFormattedCitation":"(Mahama &amp; Ninnoni, 2019)"},"properties":{"noteIndex":0},"schema":"https://github.com/citation-style-language/schema/raw/master/csl-citation.json"}</w:instrText>
      </w:r>
      <w:r>
        <w:rPr>
          <w:rFonts w:ascii="Times New Roman" w:hAnsi="Times New Roman" w:cs="Times New Roman"/>
          <w:bCs/>
          <w:color w:val="000000" w:themeColor="text1"/>
          <w:sz w:val="24"/>
          <w:szCs w:val="24"/>
          <w14:textFill>
            <w14:solidFill>
              <w14:schemeClr w14:val="tx1"/>
            </w14:solidFill>
          </w14:textFill>
        </w:rPr>
        <w:fldChar w:fldCharType="separate"/>
      </w:r>
      <w:r>
        <w:rPr>
          <w:rFonts w:ascii="Times New Roman" w:hAnsi="Times New Roman" w:cs="Times New Roman"/>
          <w:bCs/>
          <w:color w:val="000000" w:themeColor="text1"/>
          <w:sz w:val="24"/>
          <w:szCs w:val="24"/>
          <w14:textFill>
            <w14:solidFill>
              <w14:schemeClr w14:val="tx1"/>
            </w14:solidFill>
          </w14:textFill>
        </w:rPr>
        <w:t>(Mahama &amp; Ninnoni, 2019)</w:t>
      </w:r>
      <w:r>
        <w:rPr>
          <w:rFonts w:ascii="Times New Roman" w:hAnsi="Times New Roman" w:cs="Times New Roman"/>
          <w:bCs/>
          <w:color w:val="000000" w:themeColor="text1"/>
          <w:sz w:val="24"/>
          <w:szCs w:val="24"/>
          <w14:textFill>
            <w14:solidFill>
              <w14:schemeClr w14:val="tx1"/>
            </w14:solidFill>
          </w14:textFill>
        </w:rPr>
        <w:fldChar w:fldCharType="end"/>
      </w:r>
      <w:r>
        <w:rPr>
          <w:rFonts w:ascii="Times New Roman" w:hAnsi="Times New Roman" w:cs="Times New Roman"/>
          <w:b/>
          <w:color w:val="000000" w:themeColor="text1"/>
          <w:sz w:val="24"/>
          <w:szCs w:val="24"/>
          <w14:textFill>
            <w14:solidFill>
              <w14:schemeClr w14:val="tx1"/>
            </w14:solidFill>
          </w14:textFill>
        </w:rPr>
        <w:t xml:space="preserve">. </w:t>
      </w:r>
      <w:bookmarkStart w:id="242" w:name="_Hlk121320695"/>
      <w:r>
        <w:rPr>
          <w:rFonts w:ascii="Times New Roman" w:hAnsi="Times New Roman" w:cs="Times New Roman"/>
          <w:color w:val="000000" w:themeColor="text1"/>
          <w:sz w:val="24"/>
          <w:szCs w:val="24"/>
          <w14:textFill>
            <w14:solidFill>
              <w14:schemeClr w14:val="tx1"/>
            </w14:solidFill>
          </w14:textFill>
        </w:rPr>
        <w:t xml:space="preserve">This disparity showed that respondents' assessments of both patients in the case situations changed depending only on the presence or absence of physical pathology. This is in line with the findings of previous researchers who have also demonstrated that nurses modify their numerical assessments of pain based on the behavior of patients, more likely to believe a patient who is displaying behavioral signs of pain than a patient who is not. </w:t>
      </w:r>
      <w:bookmarkEnd w:id="242"/>
      <w:r>
        <w:rPr>
          <w:rFonts w:ascii="Times New Roman" w:hAnsi="Times New Roman" w:cs="Times New Roman"/>
          <w:bCs/>
          <w:color w:val="000000" w:themeColor="text1"/>
          <w:sz w:val="24"/>
          <w:szCs w:val="24"/>
          <w14:textFill>
            <w14:solidFill>
              <w14:schemeClr w14:val="tx1"/>
            </w14:solidFill>
          </w14:textFill>
        </w:rPr>
        <w:t xml:space="preserve">(Rahimi-Madiseh, Tavakol &amp; Dennick 2010). </w:t>
      </w:r>
      <w:r>
        <w:rPr>
          <w:rFonts w:ascii="Times New Roman" w:hAnsi="Times New Roman" w:cs="Times New Roman"/>
          <w:color w:val="000000" w:themeColor="text1"/>
          <w:sz w:val="24"/>
          <w:szCs w:val="24"/>
          <w14:textFill>
            <w14:solidFill>
              <w14:schemeClr w14:val="tx1"/>
            </w14:solidFill>
          </w14:textFill>
        </w:rPr>
        <w:t>Additionally, according to assessed results from the majority of respondents, nurses' assessments of pain are based on their intuitive judgements and patients' nonverbal pain cues, both of which have been identified as obstacles to efficient pain treatment.</w:t>
      </w:r>
    </w:p>
    <w:p>
      <w:pPr>
        <w:spacing w:line="48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A significant proportion of participants in this survey, however, incorrectly asserted that physiological changes in vital signs are always reliable indicators of the presence of pain. This revealed other misconceptions about how to judge pain. This outcome is in line with earlier studies that supported the idea that vital signs were a significant indicator of the level of discomfort (Adams, Varaei &amp; Jalalinia, 2020; Jemebere, Bekele, &amp; Tsegaye et al., 2020). </w:t>
      </w:r>
    </w:p>
    <w:p>
      <w:pPr>
        <w:spacing w:line="48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Further, this study discovered erroneous assumptions and information gaps about patients' pain-related behaviors. The neuromatrix theory of pain maintains, as was already noted, that psychological factors, which are essential to how pain is experienced, have a considerable impact on pain</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 xml:space="preserve">ADDIN CSL_CITATION {"citationItems":[{"id":"ITEM-1","itemData":{"id":"ITEM-1","issued":{"date-parts":[["0"]]},"title":"Persistent Pain ; What is it ? What can we do about it ? Impact of pain","type":"article-journal"},"uris":["http://www.mendeley.com/documents/?uuid=8f5125af-18ac-48f9-ae56-cc075bb91624"]}],"mendeley":{"formattedCitation":"(&lt;i&gt;Persistent Pain ; What Is It ? What Can We Do about It ? Impact of Pain&lt;/i&gt;, n.d.)","plainTextFormattedCitation":"(Persistent Pain ; What Is It ? What Can We Do about It ? Impact of Pain, n.d.)","previouslyFormattedCitation":"(&lt;i&gt;Persistent Pain ; What Is It ? What Can We Do about It ? Impact of Pain&lt;/i&gt;, n.d.)"},"properties":{"noteIndex":0},"schema":"https://github.com/citation-style-language/schema/raw/master/csl-citation.json"}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sz w:val="24"/>
          <w:szCs w:val="24"/>
        </w:rPr>
        <w:t>(Persistent Pain ; What Is It ? What Can We Do about It ? Impact of Pain, n.d.</w:t>
      </w:r>
      <w:r>
        <w:rPr>
          <w:rFonts w:ascii="Times New Roman" w:hAnsi="Times New Roman" w:cs="Times New Roman"/>
          <w:bCs/>
          <w:sz w:val="24"/>
          <w:szCs w:val="24"/>
        </w:rPr>
        <w:fldChar w:fldCharType="end"/>
      </w:r>
      <w:r>
        <w:rPr>
          <w:rFonts w:ascii="Times New Roman" w:hAnsi="Times New Roman" w:cs="Times New Roman"/>
          <w:bCs/>
          <w:sz w:val="24"/>
          <w:szCs w:val="24"/>
        </w:rPr>
        <w:t>, Mandeville, 2010)</w:t>
      </w:r>
      <w:r>
        <w:rPr>
          <w:rFonts w:ascii="Times New Roman" w:hAnsi="Times New Roman" w:cs="Times New Roman"/>
          <w:sz w:val="24"/>
          <w:szCs w:val="24"/>
        </w:rPr>
        <w:t>.</w:t>
      </w:r>
      <w:r>
        <w:rPr>
          <w:rFonts w:ascii="Times New Roman" w:hAnsi="Times New Roman" w:cs="Times New Roman"/>
          <w:color w:val="FF0000"/>
          <w:sz w:val="24"/>
          <w:szCs w:val="24"/>
        </w:rPr>
        <w:t xml:space="preserve"> </w:t>
      </w:r>
      <w:r>
        <w:rPr>
          <w:rFonts w:ascii="Times New Roman" w:hAnsi="Times New Roman" w:cs="Times New Roman"/>
          <w:color w:val="000000" w:themeColor="text1"/>
          <w:sz w:val="24"/>
          <w:szCs w:val="24"/>
          <w14:textFill>
            <w14:solidFill>
              <w14:schemeClr w14:val="tx1"/>
            </w14:solidFill>
          </w14:textFill>
        </w:rPr>
        <w:t xml:space="preserve">This has led to a growing understanding of the need for non-pharmacological interventions as adjuvant therapy for the effective management of pain. When a significant portion of respondents to the current study were unaware that patients who can be distracted from pain typically do not have severe pain, this revealed knowledge gaps in this area. </w:t>
      </w:r>
    </w:p>
    <w:p>
      <w:pPr>
        <w:spacing w:line="48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Further, equally troubling was that nearly half of the respondents in this study believed that people with severe pain cannot sleep. This finding is parallel to </w:t>
      </w:r>
      <w:bookmarkStart w:id="243" w:name="_Hlk121320727"/>
      <w:r>
        <w:rPr>
          <w:rFonts w:ascii="Times New Roman" w:hAnsi="Times New Roman" w:cs="Times New Roman"/>
          <w:bCs/>
          <w:color w:val="000000" w:themeColor="text1"/>
          <w:sz w:val="24"/>
          <w:szCs w:val="24"/>
          <w14:textFill>
            <w14:solidFill>
              <w14:schemeClr w14:val="tx1"/>
            </w14:solidFill>
          </w14:textFill>
        </w:rPr>
        <w:fldChar w:fldCharType="begin" w:fldLock="1"/>
      </w:r>
      <w:r>
        <w:rPr>
          <w:rFonts w:ascii="Times New Roman" w:hAnsi="Times New Roman" w:cs="Times New Roman"/>
          <w:bCs/>
          <w:color w:val="000000" w:themeColor="text1"/>
          <w:sz w:val="24"/>
          <w:szCs w:val="24"/>
          <w14:textFill>
            <w14:solidFill>
              <w14:schemeClr w14:val="tx1"/>
            </w14:solidFill>
          </w14:textFill>
        </w:rPr>
        <w:instrText xml:space="preserve">ADDIN CSL_CITATION {"citationItems":[{"id":"ITEM-1","itemData":{"DOI":"10.3390/healthcare10030528","ISSN":"22279032","abstract":"Inadequate pain management affects the patient outcome. Pain assessment and management are fundamental in nursing care, and nurses must be equipped with adequate knowledge and a positive attitude toward pain assessment and management. This study aims to evaluate nurses’ knowledge and attitudes regarding pain assessment and management at King Fahad Hospital, Al‐Madinah, Kingdom of Saudi Arabia. A quantitative, cross‐sectional survey, using a self‐administered questionnaire, was conducted from January to February 2020 with 660 registered nurses working in the Emergency Department, critical care units, inpatient and outpatient departments at King Fahad Hospital in Al‐Medinah, Kingdom of Saudi Arabia. The data were analyzed with descriptive and inferential statistics. Of the 660 nurses, 291 responded, resulting in a response rate of 44.09%. The participants’ scores ranged from 17.7% to 100%, with a mean score 45.29%. The majority of the participants (70.1%) had a poor level of knowledge and attitudes (score &lt;50%). Nurses working in the outpatient department scored significantly higher than the group working in the Emergency Department and inpatient wards. Deficient knowledge and negative attitudes were found and nurses continue to underassess and undertreat pain. Nursing school curricula and in‐service continuous education must equip nurses with the required knowledge and attitudes to enable them to manage pain effectively.","author":[{"dropping-particle":"","family":"Al‐sayaghi","given":"Khaled M.","non-dropping-particle":"","parse-names":false,"suffix":""},{"dropping-particle":"","family":"Fadlalmola","given":"Hammad A.","non-dropping-particle":"","parse-names":false,"suffix":""},{"dropping-particle":"","family":"Aljohani","given":"Wael A.","non-dropping-particle":"","parse-names":false,"suffix":""},{"dropping-particle":"","family":"Alenezi","given":"Ali M.","non-dropping-particle":"","parse-names":false,"suffix":""},{"dropping-particle":"","family":"Aljohani","given":"Dalal T.","non-dropping-particle":"","parse-names":false,"suffix":""},{"dropping-particle":"","family":"Aljohani","given":"Thana A.","non-dropping-particle":"","parse-names":false,"suffix":""},{"dropping-particle":"","family":"Alsaleh","given":"Sameer A.","non-dropping-particle":"","parse-names":false,"suffix":""},{"dropping-particle":"","family":"Aljohani","given":"Khalid A.","non-dropping-particle":"","parse-names":false,"suffix":""},{"dropping-particle":"","family":"Aljohani","given":"Mohammed S.","non-dropping-particle":"","parse-names":false,"suffix":""},{"dropping-particle":"","family":"Alzahrani","given":"Naif S.","non-dropping-particle":"","parse-names":false,"suffix":""},{"dropping-particle":"","family":"Alamri","given":"Ayman A.","non-dropping-particle":"","parse-names":false,"suffix":""},{"dropping-particle":"","family":"Alhousah","given":"Amraa H.","non-dropping-particle":"","parse-names":false,"suffix":""},{"dropping-particle":"","family":"Khan","given":"Mumtaz F.","non-dropping-particle":"","parse-names":false,"suffix":""}],"container-title":"Healthcare (Switzerland)","id":"ITEM-1","issue":"3","issued":{"date-parts":[["2022"]]},"title":"Nurses’ Knowledge and Attitudes Regarding Pain Assessment and Management in Saudi Arabia","type":"article-journal","volume":"10"},"uris":["http://www.mendeley.com/documents/?uuid=4ff8370f-9909-4211-b8a1-cb5556f8a61b"]}],"mendeley":{"formattedCitation":"(Al‐sayaghi et al., 2022)","manualFormatting":"Al‐sayaghi et al. (2022)","plainTextFormattedCitation":"(Al‐sayaghi et al., 2022)","previouslyFormattedCitation":"(Al‐sayaghi et al., 2022)"},"properties":{"noteIndex":0},"schema":"https://github.com/citation-style-language/schema/raw/master/csl-citation.json"}</w:instrText>
      </w:r>
      <w:r>
        <w:rPr>
          <w:rFonts w:ascii="Times New Roman" w:hAnsi="Times New Roman" w:cs="Times New Roman"/>
          <w:bCs/>
          <w:color w:val="000000" w:themeColor="text1"/>
          <w:sz w:val="24"/>
          <w:szCs w:val="24"/>
          <w14:textFill>
            <w14:solidFill>
              <w14:schemeClr w14:val="tx1"/>
            </w14:solidFill>
          </w14:textFill>
        </w:rPr>
        <w:fldChar w:fldCharType="separate"/>
      </w:r>
      <w:r>
        <w:rPr>
          <w:rFonts w:ascii="Times New Roman" w:hAnsi="Times New Roman" w:cs="Times New Roman"/>
          <w:bCs/>
          <w:color w:val="000000" w:themeColor="text1"/>
          <w:sz w:val="24"/>
          <w:szCs w:val="24"/>
          <w14:textFill>
            <w14:solidFill>
              <w14:schemeClr w14:val="tx1"/>
            </w14:solidFill>
          </w14:textFill>
        </w:rPr>
        <w:t>Al‐sayaghi et al. (2022)</w:t>
      </w:r>
      <w:r>
        <w:rPr>
          <w:rFonts w:ascii="Times New Roman" w:hAnsi="Times New Roman" w:cs="Times New Roman"/>
          <w:bCs/>
          <w:color w:val="000000" w:themeColor="text1"/>
          <w:sz w:val="24"/>
          <w:szCs w:val="24"/>
          <w14:textFill>
            <w14:solidFill>
              <w14:schemeClr w14:val="tx1"/>
            </w14:solidFill>
          </w14:textFill>
        </w:rPr>
        <w:fldChar w:fldCharType="end"/>
      </w:r>
      <w:r>
        <w:rPr>
          <w:rFonts w:ascii="Times New Roman" w:hAnsi="Times New Roman" w:cs="Times New Roman"/>
          <w:bCs/>
          <w:color w:val="FF0000"/>
          <w:sz w:val="24"/>
          <w:szCs w:val="24"/>
        </w:rPr>
        <w:t xml:space="preserve"> </w:t>
      </w:r>
      <w:bookmarkEnd w:id="243"/>
      <w:r>
        <w:rPr>
          <w:rFonts w:ascii="Times New Roman" w:hAnsi="Times New Roman" w:cs="Times New Roman"/>
          <w:bCs/>
          <w:sz w:val="24"/>
          <w:szCs w:val="24"/>
        </w:rPr>
        <w:t>and</w:t>
      </w:r>
      <w:r>
        <w:rPr>
          <w:rFonts w:ascii="Times New Roman" w:hAnsi="Times New Roman" w:cs="Times New Roman"/>
          <w:bCs/>
          <w:sz w:val="24"/>
          <w:szCs w:val="24"/>
          <w:shd w:val="clear" w:color="auto" w:fill="FFFFFF"/>
        </w:rPr>
        <w:t xml:space="preserve"> Jemebere et al. (2020)</w:t>
      </w:r>
      <w:r>
        <w:rPr>
          <w:rFonts w:ascii="Times New Roman" w:hAnsi="Times New Roman" w:cs="Times New Roman"/>
          <w:sz w:val="24"/>
          <w:szCs w:val="24"/>
          <w:shd w:val="clear" w:color="auto" w:fill="FFFFFF"/>
        </w:rPr>
        <w:t xml:space="preserve"> who shown that nurses thought patients who could sleep were not in great discomfort. </w:t>
      </w:r>
      <w:r>
        <w:rPr>
          <w:rFonts w:ascii="Times New Roman" w:hAnsi="Times New Roman" w:cs="Times New Roman"/>
          <w:color w:val="000000" w:themeColor="text1"/>
          <w:sz w:val="24"/>
          <w:szCs w:val="24"/>
          <w14:textFill>
            <w14:solidFill>
              <w14:schemeClr w14:val="tx1"/>
            </w14:solidFill>
          </w14:textFill>
        </w:rPr>
        <w:t xml:space="preserve">This finding also reflects the work of other researchers like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 xml:space="preserve">ADDIN CSL_CITATION {"citationItems":[{"id":"ITEM-1","itemData":{"DOI":"10.1111/j.1365-2702.2010.03226.x","ISSN":"09621067","PMID":"20529163","abstract":"Aim. To explore nurses' knowledge and barriers regarding pain management in intensive care units.Background. Pain is a common and treatable condition among intensive care patients. Quality care of these patients depends on the pain knowledge and pain management skills of critical care nurses. However, no single study has explored these nurses' knowledge of and perceived barriers to pain management in Taiwan.Design. A cross-sectional study.Method. Intensive care unit nurses (n = 370) were recruited from 16 hospitals chosen by stratified sampling across Taipei County in Taiwan. Data were collected on nurses' knowledge of pain management using the Nurses' Knowledge and Attitudes Survey-Taiwanese version, on perceived barriers to pain management using a researcher-developed scale and on background information.Results. The overall average correct response rate for the knowledge scale was 53.4%, indicating poor knowledge of pain management. The top barrier to managing pain identified by these nurses was 'giving proper pain prescription needs doctor's approval; can't depend on me'. Knowledge of pain management was significantly and negatively related to perceived barriers to pain management. In addition, scores for knowledge and perceived barriers differed significantly by specific intensive care unit. Knowledge also differed significantly by nurses' education level, clinical competence level (nursing ladder) and hospital accreditation category.Conclusion. Our results indicate an urgent need to strengthen pain education by including case analysis for intensive care nurses in Taiwan.Relevance to clinical practice. Pain education should target knowledge deficits and barriers to changing pain management approaches for Taiwanese nurses in intensive care units. © 2010 Blackwell Publishing Ltd.","author":[{"dropping-particle":"","family":"Wang","given":"Hsiang Ling","non-dropping-particle":"","parse-names":false,"suffix":""},{"dropping-particle":"","family":"Tsai","given":"Yun Fang","non-dropping-particle":"","parse-names":false,"suffix":""}],"container-title":"Journal of Clinical Nursing","id":"ITEM-1","issue":"21-22","issued":{"date-parts":[["2010"]]},"page":"3188-3196","title":"Nurses' knowledge and barriers regarding pain management in intensive care units","type":"article-journal","volume":"19"},"uris":["http://www.mendeley.com/documents/?uuid=ce2bdf8f-df0f-4f9d-a185-b9951e5945b5"]}],"mendeley":{"formattedCitation":"(Wang &amp; Tsai, 2010)","manualFormatting":"Wang and Tsai (2010)","plainTextFormattedCitation":"(Wang &amp; Tsai, 2010)","previouslyFormattedCitation":"(Wang &amp; Tsai, 2010)"},"properties":{"noteIndex":0},"schema":"https://github.com/citation-style-language/schema/raw/master/csl-citation.json"}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sz w:val="24"/>
          <w:szCs w:val="24"/>
        </w:rPr>
        <w:t>Wang and Tsai (2010)</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Khalil 2019 and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 xml:space="preserve">ADDIN CSL_CITATION {"citationItems":[{"id":"ITEM-1","itemData":{"DOI":"10.1016/j.pmn.2014.02.002","ISSN":"15249042","PMID":"24981120","abstract":"Undertreatment of postoperative pain can aggravate patient outcomes and is associated with attending nurses' knowledge deficits or negative attitudes toward pain. The aim of this study was to investigate knowledge and attitudes toward postoperative pain of surgical department nurses and to identify predictors of their knowledge and attitudes. This was a descriptive, cross-sectional survey that took place in the departments of general surgery, orthopedics, neurosurgery, ear-nose-throat surgery, and obstetrics/gynecology at five Greek hospitals. Participants were a convenience sample of registered and assistant nurses. Nurses were asked to complete a three-section questionnaire, which included demographics, a Knowledge and Attitudes Survey Regarding Pain (KASRP) tool modified for postoperative pain, and seven questions capturing personal characteristics, working conditions, and feelings about work. One hundred eighty-two questionnaires were completed. Average scores were 45.35% for modified KASRP tool; 28.57% for pain assessment; 55.44% for general pain management; and 47.13% for use of analgesics. Four of the five most commonly missed items referred to use of analgesics. More previous personal experience of postoperative pain (. p = .002) and being a registered nurse (. p = .015) predicted higher modified KASRP tool score. Participation in continuing education programs and department of employment were also associated with differences in the modified tool score. The knowledge deficits and negative attitudes of the nurses toward postoperative pain highlight the role of pregraduate and continuing education, appropriately specialized for each surgical department, in the development of empathy toward patients in pain and of clinical competency regarding pain assessment and administration of analgesics.","author":[{"dropping-particle":"","family":"Kiekkas","given":"Panagiotis","non-dropping-particle":"","parse-names":false,"suffix":""},{"dropping-particle":"","family":"Gardeli","given":"Panagiota","non-dropping-particle":"","parse-names":false,"suffix":""},{"dropping-particle":"","family":"Bakalis","given":"Nick","non-dropping-particle":"","parse-names":false,"suffix":""},{"dropping-particle":"","family":"Stefanopoulos","given":"Nikolaos","non-dropping-particle":"","parse-names":false,"suffix":""},{"dropping-particle":"","family":"Adamopoulou","given":"Katerina","non-dropping-particle":"","parse-names":false,"suffix":""},{"dropping-particle":"","family":"Avdulla","given":"Christos","non-dropping-particle":"","parse-names":false,"suffix":""},{"dropping-particle":"","family":"Tzourala","given":"Georgia","non-dropping-particle":"","parse-names":false,"suffix":""},{"dropping-particle":"","family":"Konstantinou","given":"Evangelos","non-dropping-particle":"","parse-names":false,"suffix":""}],"container-title":"Pain Management Nursing","id":"ITEM-1","issue":"1","issued":{"date-parts":[["2015"]]},"page":"2-10","publisher":"American Society for Pain Management Nursing","title":"Predictors of Nurses' Knowledge and Attitudes Toward Postoperative Pain in Greece","type":"article-journal","volume":"16"},"uris":["http://www.mendeley.com/documents/?uuid=a4019826-c566-4378-925c-21dcd4f7ea1b"]}],"mendeley":{"formattedCitation":"(Kiekkas et al., 2015)","plainTextFormattedCitation":"(Kiekkas et al., 2015)","previouslyFormattedCitation":"(Kiekkas et al., 2015)"},"properties":{"noteIndex":0},"schema":"https://github.com/citation-style-language/schema/raw/master/csl-citation.json"}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sz w:val="24"/>
          <w:szCs w:val="24"/>
        </w:rPr>
        <w:t>Kiekkas et al., (2015)</w:t>
      </w:r>
      <w:r>
        <w:rPr>
          <w:rFonts w:ascii="Times New Roman" w:hAnsi="Times New Roman" w:cs="Times New Roman"/>
          <w:bCs/>
          <w:sz w:val="24"/>
          <w:szCs w:val="24"/>
        </w:rPr>
        <w:fldChar w:fldCharType="end"/>
      </w:r>
      <w:r>
        <w:rPr>
          <w:rFonts w:ascii="Times New Roman" w:hAnsi="Times New Roman" w:cs="Times New Roman"/>
          <w:b/>
          <w:sz w:val="24"/>
          <w:szCs w:val="24"/>
        </w:rPr>
        <w:t xml:space="preserve"> </w:t>
      </w:r>
      <w:r>
        <w:rPr>
          <w:rFonts w:ascii="Times New Roman" w:hAnsi="Times New Roman" w:cs="Times New Roman"/>
          <w:color w:val="000000" w:themeColor="text1"/>
          <w:sz w:val="24"/>
          <w:szCs w:val="24"/>
          <w14:textFill>
            <w14:solidFill>
              <w14:schemeClr w14:val="tx1"/>
            </w14:solidFill>
          </w14:textFill>
        </w:rPr>
        <w:t>patients do employ coping strategies such as distraction techniques and sleeping to avert their attention from pain. This result also supports the findings of previous investigators, like Wang and Tsai (2010), Khalil 2019 and Kiekkas et al. (2015). Patients do use coping mechanisms including sleeping and distraction techniques to block out pain. This conclusion may be accurate given that nurses lack sufficient expertise in pain evaluation. These sleep-related discoveries can aid nurses and midwives in better managing patients' POP.</w:t>
      </w:r>
    </w:p>
    <w:p>
      <w:pPr>
        <w:pStyle w:val="3"/>
        <w:spacing w:line="480" w:lineRule="auto"/>
        <w:rPr>
          <w:rFonts w:ascii="Times New Roman" w:hAnsi="Times New Roman" w:cs="Times New Roman"/>
          <w:b w:val="0"/>
          <w:sz w:val="24"/>
          <w:szCs w:val="24"/>
        </w:rPr>
      </w:pPr>
      <w:bookmarkStart w:id="244" w:name="_Toc142753432"/>
      <w:bookmarkStart w:id="245" w:name="_Toc134604192"/>
      <w:r>
        <w:rPr>
          <w:rFonts w:ascii="Times New Roman" w:hAnsi="Times New Roman" w:cs="Times New Roman"/>
          <w:sz w:val="24"/>
          <w:szCs w:val="24"/>
        </w:rPr>
        <w:t>Nurses' attitude towards post-operative pain management.</w:t>
      </w:r>
      <w:bookmarkEnd w:id="244"/>
      <w:bookmarkEnd w:id="245"/>
    </w:p>
    <w:p>
      <w:pPr>
        <w:spacing w:line="480" w:lineRule="auto"/>
        <w:ind w:firstLine="720"/>
        <w:jc w:val="both"/>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sz w:val="24"/>
          <w:szCs w:val="24"/>
        </w:rPr>
        <w:t>In studies, nurses have stated a lack of emotional interest in pain and a perception that pain is a normal component of a person's state. Carolyn (2017) claims is a compelling case for a general lack of interest on the part of nurses in alleviating suffering.</w:t>
      </w:r>
      <w:r>
        <w:rPr>
          <w:rFonts w:ascii="Times New Roman" w:hAnsi="Times New Roman" w:cs="Times New Roman"/>
          <w:color w:val="000000" w:themeColor="text1"/>
          <w:sz w:val="24"/>
          <w:szCs w:val="24"/>
          <w14:textFill>
            <w14:solidFill>
              <w14:schemeClr w14:val="tx1"/>
            </w14:solidFill>
          </w14:textFill>
        </w:rPr>
        <w:t xml:space="preserve"> In this survey, nearly all of the respondents opposed the above statement by strongly disagreeing with the statement that patients complaining of pain wasn’t their priority which displayed a good attitude.  The present study, huge percentage of participants were against the opinion of women having exaggerated post-operative pain during assessment thus confirming pain being a subjective and discouraging generalization of patients' care for proper managing post-surgical pain. It will require ongoing training to strengthen the optimistic outlook toward post-operative pain management (Faithfull-Byrne, 2017).</w:t>
      </w:r>
    </w:p>
    <w:p>
      <w:pPr>
        <w:spacing w:line="48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Grounding on the survey, the results of this study showed an unacceptable attitude towards post-operative pain management when most participants admitted to waiting a while longer till the next dose of analgesia is being administered to a post-operative patient in pain. This did not align with the findings of other researchers who also found that the majority of respondents didn’t agree with the statement of waiting a while longer till the next dose for a post-operative patient in pain without administration of any analgesic</w:t>
      </w:r>
      <w:r>
        <w:rPr>
          <w:rFonts w:ascii="Times New Roman" w:hAnsi="Times New Roman" w:cs="Times New Roman"/>
          <w:bCs/>
          <w:color w:val="000000" w:themeColor="text1"/>
          <w:sz w:val="24"/>
          <w:szCs w:val="24"/>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fldChar w:fldCharType="begin" w:fldLock="1"/>
      </w:r>
      <w:r>
        <w:rPr>
          <w:rFonts w:ascii="Times New Roman" w:hAnsi="Times New Roman" w:cs="Times New Roman"/>
          <w:bCs/>
          <w:color w:val="000000" w:themeColor="text1"/>
          <w:sz w:val="24"/>
          <w:szCs w:val="24"/>
          <w14:textFill>
            <w14:solidFill>
              <w14:schemeClr w14:val="tx1"/>
            </w14:solidFill>
          </w14:textFill>
        </w:rPr>
        <w:instrText xml:space="preserve">ADDIN CSL_CITATION {"citationItems":[{"id":"ITEM-1","itemData":{"DOI":"10.3390/healthcare10030528","ISSN":"22279032","abstract":"Inadequate pain management affects the patient outcome. Pain assessment and management are fundamental in nursing care, and nurses must be equipped with adequate knowledge and a positive attitude toward pain assessment and management. This study aims to evaluate nurses’ knowledge and attitudes regarding pain assessment and management at King Fahad Hospital, Al‐Madinah, Kingdom of Saudi Arabia. A quantitative, cross‐sectional survey, using a self‐administered questionnaire, was conducted from January to February 2020 with 660 registered nurses working in the Emergency Department, critical care units, inpatient and outpatient departments at King Fahad Hospital in Al‐Medinah, Kingdom of Saudi Arabia. The data were analyzed with descriptive and inferential statistics. Of the 660 nurses, 291 responded, resulting in a response rate of 44.09%. The participants’ scores ranged from 17.7% to 100%, with a mean score 45.29%. The majority of the participants (70.1%) had a poor level of knowledge and attitudes (score &lt;50%). Nurses working in the outpatient department scored significantly higher than the group working in the Emergency Department and inpatient wards. Deficient knowledge and negative attitudes were found and nurses continue to underassess and undertreat pain. Nursing school curricula and in‐service continuous education must equip nurses with the required knowledge and attitudes to enable them to manage pain effectively.","author":[{"dropping-particle":"","family":"Al‐sayaghi","given":"Khaled M.","non-dropping-particle":"","parse-names":false,"suffix":""},{"dropping-particle":"","family":"Fadlalmola","given":"Hammad A.","non-dropping-particle":"","parse-names":false,"suffix":""},{"dropping-particle":"","family":"Aljohani","given":"Wael A.","non-dropping-particle":"","parse-names":false,"suffix":""},{"dropping-particle":"","family":"Alenezi","given":"Ali M.","non-dropping-particle":"","parse-names":false,"suffix":""},{"dropping-particle":"","family":"Aljohani","given":"Dalal T.","non-dropping-particle":"","parse-names":false,"suffix":""},{"dropping-particle":"","family":"Aljohani","given":"Thana A.","non-dropping-particle":"","parse-names":false,"suffix":""},{"dropping-particle":"","family":"Alsaleh","given":"Sameer A.","non-dropping-particle":"","parse-names":false,"suffix":""},{"dropping-particle":"","family":"Aljohani","given":"Khalid A.","non-dropping-particle":"","parse-names":false,"suffix":""},{"dropping-particle":"","family":"Aljohani","given":"Mohammed S.","non-dropping-particle":"","parse-names":false,"suffix":""},{"dropping-particle":"","family":"Alzahrani","given":"Naif S.","non-dropping-particle":"","parse-names":false,"suffix":""},{"dropping-particle":"","family":"Alamri","given":"Ayman A.","non-dropping-particle":"","parse-names":false,"suffix":""},{"dropping-particle":"","family":"Alhousah","given":"Amraa H.","non-dropping-particle":"","parse-names":false,"suffix":""},{"dropping-particle":"","family":"Khan","given":"Mumtaz F.","non-dropping-particle":"","parse-names":false,"suffix":""}],"container-title":"Healthcare (Switzerland)","id":"ITEM-1","issue":"3","issued":{"date-parts":[["2022"]]},"title":"Nurses’ Knowledge and Attitudes Regarding Pain Assessment and Management in Saudi Arabia","type":"article-journal","volume":"10"},"uris":["http://www.mendeley.com/documents/?uuid=4ff8370f-9909-4211-b8a1-cb5556f8a61b"]}],"mendeley":{"formattedCitation":"(Al‐sayaghi et al., 2022)","plainTextFormattedCitation":"(Al‐sayaghi et al., 2022)","previouslyFormattedCitation":"(Al‐sayaghi et al., 2022)"},"properties":{"noteIndex":0},"schema":"https://github.com/citation-style-language/schema/raw/master/csl-citation.json"}</w:instrText>
      </w:r>
      <w:r>
        <w:rPr>
          <w:rFonts w:ascii="Times New Roman" w:hAnsi="Times New Roman" w:cs="Times New Roman"/>
          <w:bCs/>
          <w:color w:val="000000" w:themeColor="text1"/>
          <w:sz w:val="24"/>
          <w:szCs w:val="24"/>
          <w14:textFill>
            <w14:solidFill>
              <w14:schemeClr w14:val="tx1"/>
            </w14:solidFill>
          </w14:textFill>
        </w:rPr>
        <w:fldChar w:fldCharType="separate"/>
      </w:r>
      <w:r>
        <w:rPr>
          <w:rFonts w:ascii="Times New Roman" w:hAnsi="Times New Roman" w:cs="Times New Roman"/>
          <w:bCs/>
          <w:color w:val="000000" w:themeColor="text1"/>
          <w:sz w:val="24"/>
          <w:szCs w:val="24"/>
          <w14:textFill>
            <w14:solidFill>
              <w14:schemeClr w14:val="tx1"/>
            </w14:solidFill>
          </w14:textFill>
        </w:rPr>
        <w:t>(Al‐sayaghi et al., 2022)</w:t>
      </w:r>
      <w:r>
        <w:rPr>
          <w:rFonts w:ascii="Times New Roman" w:hAnsi="Times New Roman" w:cs="Times New Roman"/>
          <w:bCs/>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14:textFill>
            <w14:solidFill>
              <w14:schemeClr w14:val="tx1"/>
            </w14:solidFill>
          </w14:textFill>
        </w:rPr>
        <w:t xml:space="preserve">. Uncontrolled post-operative pain may call for a prolonged hospital stay and poor health outcomes </w:t>
      </w:r>
      <w:r>
        <w:rPr>
          <w:rFonts w:ascii="Times New Roman" w:hAnsi="Times New Roman" w:cs="Times New Roman"/>
          <w:bCs/>
          <w:color w:val="000000" w:themeColor="text1"/>
          <w:sz w:val="24"/>
          <w:szCs w:val="24"/>
          <w14:textFill>
            <w14:solidFill>
              <w14:schemeClr w14:val="tx1"/>
            </w14:solidFill>
          </w14:textFill>
        </w:rPr>
        <w:fldChar w:fldCharType="begin" w:fldLock="1"/>
      </w:r>
      <w:r>
        <w:rPr>
          <w:rFonts w:ascii="Times New Roman" w:hAnsi="Times New Roman" w:cs="Times New Roman"/>
          <w:bCs/>
          <w:color w:val="000000" w:themeColor="text1"/>
          <w:sz w:val="24"/>
          <w:szCs w:val="24"/>
          <w14:textFill>
            <w14:solidFill>
              <w14:schemeClr w14:val="tx1"/>
            </w14:solidFill>
          </w14:textFill>
        </w:rPr>
        <w:instrText xml:space="preserve">ADDIN CSL_CITATION {"citationItems":[{"id":"ITEM-1","itemData":{"DOI":"10.1185/03007995.2015.1092122","ISSN":"14734877","PMID":"26359332","abstract":"Poor management of post-operative acute pain can contribute to medical complications including pneumonia, deep vein thrombosis, infection and delayed healing, as well as the development of chronic pain. It is therefore important that all patients undergoing surgery should receive adequate pain management. However, evidence suggests this is not currently the case; between 10% and 50% of patients develop chronic pain after various common operations, and one recent US study recorded &gt;80% of patients experiencing post-operative pain.At the first meeting of the acute chapter of the Change Pain Advisory Board, key priorities for improving post-operative pain management were identified in four different areas. Firstly, patients should be more involved in decisions regarding their own treatment, particularly when fateful alternatives are being considered. For this to be meaningful, relevant information should be provided so they are well informed about the various options available. Good physician/patient communication is also essential. Secondly, better professional education and training of the various members of the multidisciplinary pain management team would enhance their skills and knowledge, and thereby improve patient care. Thirdly, there is scope for optimizing treatment. Examples include the use of synergistic analgesia to target pain at different points along pain pathways, more widespread adoption of patient-controlled analgesia, and the use of minimally invasive rather than open surgery. Fourthly, organizational change could provide similar benefits; introducing acute pain services and increasing their availability towards the 24 hours/day ideal, greater adherence to protocols, increased use of patient-reported outcomes, and greater receptivity to technological advances would all help to enhance performance and increase patient satisfaction. It must be acknowledged that implementing these recommendations would incur a considerable cost that purchasers of healthcare may be unwilling or unable to finance. Nevertheless, change is under way and the political will exists for it to continue.","author":[{"dropping-particle":"","family":"Meissner","given":"Winfried","non-dropping-particle":"","parse-names":false,"suffix":""},{"dropping-particle":"","family":"Coluzzi","given":"Flaminia","non-dropping-particle":"","parse-names":false,"suffix":""},{"dropping-particle":"","family":"Fletcher","given":"Dominique","non-dropping-particle":"","parse-names":false,"suffix":""},{"dropping-particle":"","family":"Huygen","given":"Frank","non-dropping-particle":"","parse-names":false,"suffix":""},{"dropping-particle":"","family":"Morlion","given":"Bart","non-dropping-particle":"","parse-names":false,"suffix":""},{"dropping-particle":"","family":"Neugebauer","given":"Edmund","non-dropping-particle":"","parse-names":false,"suffix":""},{"dropping-particle":"","family":"Pérez","given":"Antonio Montes","non-dropping-particle":"","parse-names":false,"suffix":""},{"dropping-particle":"","family":"Pergolizzi","given":"Joseph","non-dropping-particle":"","parse-names":false,"suffix":""}],"container-title":"Current Medical Research and Opinion","id":"ITEM-1","issue":"11","issued":{"date-parts":[["2015"]]},"page":"2131-2143","title":"Improving the management of post-operative acute pain: Priorities for change","type":"article-journal","volume":"31"},"uris":["http://www.mendeley.com/documents/?uuid=3e2df8e0-0101-4102-8fba-83cb7b481d4d"]}],"mendeley":{"formattedCitation":"(Meissner et al., 2015)","plainTextFormattedCitation":"(Meissner et al., 2015)","previouslyFormattedCitation":"(Meissner et al., 2015)"},"properties":{"noteIndex":0},"schema":"https://github.com/citation-style-language/schema/raw/master/csl-citation.json"}</w:instrText>
      </w:r>
      <w:r>
        <w:rPr>
          <w:rFonts w:ascii="Times New Roman" w:hAnsi="Times New Roman" w:cs="Times New Roman"/>
          <w:bCs/>
          <w:color w:val="000000" w:themeColor="text1"/>
          <w:sz w:val="24"/>
          <w:szCs w:val="24"/>
          <w14:textFill>
            <w14:solidFill>
              <w14:schemeClr w14:val="tx1"/>
            </w14:solidFill>
          </w14:textFill>
        </w:rPr>
        <w:fldChar w:fldCharType="separate"/>
      </w:r>
      <w:r>
        <w:rPr>
          <w:rFonts w:ascii="Times New Roman" w:hAnsi="Times New Roman" w:cs="Times New Roman"/>
          <w:bCs/>
          <w:color w:val="000000" w:themeColor="text1"/>
          <w:sz w:val="24"/>
          <w:szCs w:val="24"/>
          <w14:textFill>
            <w14:solidFill>
              <w14:schemeClr w14:val="tx1"/>
            </w14:solidFill>
          </w14:textFill>
        </w:rPr>
        <w:t>(Meissner et al., 2015)</w:t>
      </w:r>
      <w:r>
        <w:rPr>
          <w:rFonts w:ascii="Times New Roman" w:hAnsi="Times New Roman" w:cs="Times New Roman"/>
          <w:bCs/>
          <w:color w:val="000000" w:themeColor="text1"/>
          <w:sz w:val="24"/>
          <w:szCs w:val="24"/>
          <w14:textFill>
            <w14:solidFill>
              <w14:schemeClr w14:val="tx1"/>
            </w14:solidFill>
          </w14:textFill>
        </w:rPr>
        <w:fldChar w:fldCharType="end"/>
      </w:r>
      <w:r>
        <w:rPr>
          <w:rFonts w:ascii="Times New Roman" w:hAnsi="Times New Roman" w:cs="Times New Roman"/>
          <w:bCs/>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Therefore, the unacceptable attitude needs to be handled as soon as being identified for quality care.</w:t>
      </w:r>
    </w:p>
    <w:p>
      <w:pPr>
        <w:spacing w:line="480" w:lineRule="auto"/>
        <w:ind w:firstLine="720"/>
        <w:jc w:val="both"/>
        <w:rPr>
          <w:rFonts w:ascii="Times New Roman" w:hAnsi="Times New Roman" w:cs="Times New Roman"/>
          <w:b/>
          <w:sz w:val="24"/>
          <w:szCs w:val="24"/>
          <w:shd w:val="clear" w:color="auto" w:fill="FFFFFF"/>
        </w:rPr>
      </w:pPr>
      <w:r>
        <w:rPr>
          <w:rFonts w:ascii="Times New Roman" w:hAnsi="Times New Roman" w:cs="Times New Roman"/>
          <w:color w:val="000000" w:themeColor="text1"/>
          <w:sz w:val="24"/>
          <w:szCs w:val="24"/>
          <w14:textFill>
            <w14:solidFill>
              <w14:schemeClr w14:val="tx1"/>
            </w14:solidFill>
          </w14:textFill>
        </w:rPr>
        <w:t>Since most respondents in this study concur with the statement that visual evaluation of the patient reporting pain affects their response and management of POP, unacceptable attitudes regarding pain assessment continue to emerge. Assessment of postoperative pain is hampered by this. According to research, pain is the fifth vital sign and demands constant evaluation and prompt treatment</w:t>
      </w:r>
      <w:r>
        <w:rPr>
          <w:rFonts w:ascii="Times New Roman" w:hAnsi="Times New Roman" w:cs="Times New Roman"/>
          <w:b/>
          <w:sz w:val="24"/>
          <w:szCs w:val="24"/>
          <w:shd w:val="clear" w:color="auto" w:fill="FFFFFF"/>
        </w:rPr>
        <w:fldChar w:fldCharType="begin" w:fldLock="1"/>
      </w:r>
      <w:r>
        <w:rPr>
          <w:rFonts w:ascii="Times New Roman" w:hAnsi="Times New Roman" w:cs="Times New Roman"/>
          <w:b/>
          <w:sz w:val="24"/>
          <w:szCs w:val="24"/>
          <w:shd w:val="clear" w:color="auto" w:fill="FFFFFF"/>
        </w:rPr>
        <w:instrText xml:space="preserve">ADDIN CSL_CITATION {"citationItems":[{"id":"ITEM-1","itemData":{"author":[{"dropping-particle":"","family":"Naresh Manandhar1,* , Isha Amatya1, Arundhati Gautam2 , Gaurav Kumar2 , Himanshu Ahlawat2 , Nitesh Adhikari2","given":"Pawan Kumar Mahaseth2","non-dropping-particle":"","parse-names":false,"suffix":""},{"dropping-particle":"","family":"¹Department","given":"","non-dropping-particle":"","parse-names":false,"suffix":""}],"id":"ITEM-1","issue":"1","issued":{"date-parts":[["2020"]]},"page":"53-56","title":"Original Research Article Nurses ’ Knowledge , Attitude and Practice Regarding Postoperative Pain Management At","type":"article-journal","volume":"10"},"uris":["http://www.mendeley.com/documents/?uuid=af82b783-6433-4fb5-9296-30e0cdbc1ef8"]}],"mendeley":{"formattedCitation":"(Naresh Manandhar1,* , Isha Amatya1, Arundhati Gautam2 , Gaurav Kumar2 , Himanshu Ahlawat2 , Nitesh Adhikari2 &amp; &lt;sup&gt;1&lt;/sup&gt;Department, 2020)","manualFormatting":"(Thapa &amp; Gurung, 2020).  \r ,","plainTextFormattedCitation":"(Naresh Manandhar1,* , Isha Amatya1, Arundhati Gautam2 , Gaurav Kumar2 , Himanshu Ahlawat2 , Nitesh Adhikari2 &amp; 1Department, 2020)","previouslyFormattedCitation":"(Naresh Manandhar1,* , Isha Amatya1, Arundhati Gautam2 , Gaurav Kumar2 , Himanshu Ahlawat2 , Nitesh Adhikari2 &amp; &lt;sup&gt;1&lt;/sup&gt;Department, 2020)"},"properties":{"noteIndex":0},"schema":"https://github.com/citation-style-language/schema/raw/master/csl-citation.json"}</w:instrText>
      </w:r>
      <w:r>
        <w:rPr>
          <w:rFonts w:ascii="Times New Roman" w:hAnsi="Times New Roman" w:cs="Times New Roman"/>
          <w:b/>
          <w:sz w:val="24"/>
          <w:szCs w:val="24"/>
          <w:shd w:val="clear" w:color="auto" w:fill="FFFFFF"/>
        </w:rPr>
        <w:fldChar w:fldCharType="separate"/>
      </w:r>
      <w:r>
        <w:rPr>
          <w:rFonts w:ascii="Times New Roman" w:hAnsi="Times New Roman" w:cs="Times New Roman"/>
          <w:bCs/>
          <w:sz w:val="24"/>
          <w:szCs w:val="24"/>
          <w:shd w:val="clear" w:color="auto" w:fill="FFFFFF"/>
        </w:rPr>
        <w:t xml:space="preserve">(Thapa &amp; Gurung, 2020).  </w:t>
      </w:r>
    </w:p>
    <w:p>
      <w:pPr>
        <w:spacing w:line="480" w:lineRule="auto"/>
        <w:ind w:firstLine="720"/>
        <w:jc w:val="both"/>
        <w:rPr>
          <w:rFonts w:ascii="Times New Roman" w:hAnsi="Times New Roman" w:cs="Times New Roman"/>
          <w:bCs/>
          <w:sz w:val="24"/>
          <w:szCs w:val="24"/>
          <w:shd w:val="clear" w:color="auto" w:fill="FFFFFF"/>
        </w:rPr>
      </w:pPr>
      <w:r>
        <w:rPr>
          <w:rFonts w:ascii="Times New Roman" w:hAnsi="Times New Roman" w:cs="Times New Roman"/>
          <w:b/>
          <w:sz w:val="24"/>
          <w:szCs w:val="24"/>
          <w:shd w:val="clear" w:color="auto" w:fill="FFFFFF"/>
        </w:rPr>
        <w:t xml:space="preserve"> </w:t>
      </w:r>
      <w:r>
        <w:rPr>
          <w:rFonts w:ascii="Times New Roman" w:hAnsi="Times New Roman" w:cs="Times New Roman"/>
          <w:b/>
          <w:sz w:val="24"/>
          <w:szCs w:val="24"/>
          <w:shd w:val="clear" w:color="auto" w:fill="FFFFFF"/>
        </w:rPr>
        <w:fldChar w:fldCharType="end"/>
      </w:r>
      <w:r>
        <w:rPr>
          <w:rFonts w:ascii="Times New Roman" w:hAnsi="Times New Roman" w:cs="Times New Roman"/>
          <w:sz w:val="24"/>
          <w:szCs w:val="24"/>
        </w:rPr>
        <w:t xml:space="preserve">Additionally, most survey participants accurately noted that patients' spiritual beliefs may affect how they perceive pain. Curry (2010) claimed that each individual has a unique cultural perspective and that nurses tending to patients who are in pain need to be mindful of any opposing influences, such as spiritual and religious views. This result is congruent with Samarkandi (2018) who reported that the participants accurately accepted that some religious beliefs might influence patients' perceptions of the necessity of suffering. Therefore, pain assessment is vital in making pain evident for patients who for some reason may be culturally certain not to reflect pain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 xml:space="preserve">ADDIN CSL_CITATION {"citationItems":[{"id":"ITEM-1","itemData":{"DOI":"10.1177/2158244020924377","ISSN":"21582440","abstract":"The aim of the study was to investigate surgical patients’ pain experience and the quality of nursing care in managing acute postoperative pain. A descriptive cross-sectional study using a Strategic and Clinical Quality Indicators in Postoperative Pain Management Questionnaire collected data of 247 patients who underwent surgery in the surgical clinics of a state hospital. Data of 141 patients were included in the analysis. The mean scores for the scale items indicated that the quality of care was acceptable or low. The level of postoperative care, nursing interventions, and environmental subscales of the questionnaire were at an acceptable level, but pain management subscales of the questionnaire were low. These results suggest that health care, including measurable, applicable quality indicators, should be planned and evaluated to maintain professional nursing services, to achieve postoperative pain management and to relieve pain.","author":[{"dropping-particle":"","family":"Köse Tamer","given":"Laika","non-dropping-particle":"","parse-names":false,"suffix":""},{"dropping-particle":"","family":"Sucu Dağ","given":"Gülten","non-dropping-particle":"","parse-names":false,"suffix":""}],"container-title":"SAGE Open","id":"ITEM-1","issue":"2","issued":{"date-parts":[["2020"]]},"title":"The Assessment of Pain and the Quality of Postoperative Pain Management in Surgical Patients","type":"article-journal","volume":"10"},"uris":["http://www.mendeley.com/documents/?uuid=ed2fcb09-8a2b-42b7-b62f-f418152b53b9"]}],"mendeley":{"formattedCitation":"(Köse Tamer &amp; Sucu Dağ, 2020)","plainTextFormattedCitation":"(Köse Tamer &amp; Sucu Dağ, 2020)","previouslyFormattedCitation":"(Köse Tamer &amp; Sucu Dağ, 2020)"},"properties":{"noteIndex":0},"schema":"https://github.com/citation-style-language/schema/raw/master/csl-citation.json"}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sz w:val="24"/>
          <w:szCs w:val="24"/>
        </w:rPr>
        <w:t>(Köse Tamer &amp; Sucu Dağ, 2020)</w:t>
      </w:r>
      <w:r>
        <w:rPr>
          <w:rFonts w:ascii="Times New Roman" w:hAnsi="Times New Roman" w:cs="Times New Roman"/>
          <w:bCs/>
          <w:sz w:val="24"/>
          <w:szCs w:val="24"/>
        </w:rPr>
        <w:fldChar w:fldCharType="end"/>
      </w:r>
      <w:r>
        <w:rPr>
          <w:rFonts w:ascii="Times New Roman" w:hAnsi="Times New Roman" w:cs="Times New Roman"/>
          <w:bCs/>
          <w:sz w:val="24"/>
          <w:szCs w:val="24"/>
        </w:rPr>
        <w:t>.</w:t>
      </w:r>
    </w:p>
    <w:p>
      <w:pPr>
        <w:pStyle w:val="3"/>
        <w:spacing w:line="480" w:lineRule="auto"/>
        <w:rPr>
          <w:rFonts w:ascii="Times New Roman" w:hAnsi="Times New Roman" w:cs="Times New Roman"/>
          <w:sz w:val="24"/>
          <w:szCs w:val="24"/>
        </w:rPr>
      </w:pPr>
      <w:bookmarkStart w:id="246" w:name="_Toc134604193"/>
      <w:bookmarkStart w:id="247" w:name="_Toc142753433"/>
      <w:r>
        <w:rPr>
          <w:rFonts w:ascii="Times New Roman" w:hAnsi="Times New Roman" w:cs="Times New Roman"/>
          <w:bCs/>
          <w:sz w:val="24"/>
          <w:szCs w:val="24"/>
        </w:rPr>
        <w:t>Nurses’ Practice in the</w:t>
      </w:r>
      <w:r>
        <w:rPr>
          <w:rFonts w:ascii="Times New Roman" w:hAnsi="Times New Roman" w:cs="Times New Roman"/>
          <w:sz w:val="24"/>
          <w:szCs w:val="24"/>
        </w:rPr>
        <w:t xml:space="preserve"> Management of Post–Operative Pain</w:t>
      </w:r>
      <w:bookmarkEnd w:id="246"/>
      <w:bookmarkEnd w:id="247"/>
    </w:p>
    <w:p>
      <w:pPr>
        <w:pStyle w:val="4"/>
        <w:spacing w:line="480" w:lineRule="auto"/>
        <w:ind w:firstLine="7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w:t xml:space="preserve">Following the educational intervention of introducing the pain assessment scale into nursing practice, it was discovered that postoperative pain management practices on surgical wards had significantly improved. The results showed a positive effect on nursing practice for example, </w:t>
      </w:r>
      <w:r>
        <w:rPr>
          <w:rFonts w:ascii="Times New Roman" w:hAnsi="Times New Roman" w:cs="Times New Roman"/>
          <w:color w:val="000000" w:themeColor="text1"/>
          <w14:textFill>
            <w14:solidFill>
              <w14:schemeClr w14:val="tx1"/>
            </w14:solidFill>
          </w14:textFill>
        </w:rPr>
        <w:t>majority of responders were able to use the PQRST to evaluate post-operative pain.</w:t>
      </w:r>
      <w:r>
        <w:rPr>
          <w:rFonts w:ascii="Times New Roman" w:hAnsi="Times New Roman" w:cs="Times New Roman"/>
        </w:rPr>
        <w:t xml:space="preserve"> </w:t>
      </w:r>
    </w:p>
    <w:p>
      <w:pPr>
        <w:pStyle w:val="4"/>
        <w:spacing w:line="480" w:lineRule="auto"/>
        <w:ind w:firstLine="720"/>
        <w:rPr>
          <w:rFonts w:ascii="Times New Roman" w:hAnsi="Times New Roman" w:eastAsia="Times New Roman" w:cs="Times New Roman"/>
          <w:color w:val="000000"/>
          <w:lang w:eastAsia="ja-JP"/>
        </w:rPr>
      </w:pP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eastAsia="Times New Roman" w:cs="Times New Roman"/>
          <w:color w:val="000000"/>
          <w:lang w:eastAsia="ja-JP"/>
        </w:rPr>
        <w:t xml:space="preserve">According to the study findings a sizeable number of respondents documented the treatment modality for pain.  Inline, Dessie et al. (2019) documentation facilitates therapy, helps with staff communication, and is essential for effective post-operative pain management. </w:t>
      </w:r>
      <w:r>
        <w:rPr>
          <w:rFonts w:ascii="Times New Roman" w:hAnsi="Times New Roman" w:cs="Times New Roman"/>
          <w:color w:val="000000" w:themeColor="text1"/>
          <w14:textFill>
            <w14:solidFill>
              <w14:schemeClr w14:val="tx1"/>
            </w14:solidFill>
          </w14:textFill>
        </w:rPr>
        <w:t xml:space="preserve">One of the most important aspects of effective pain treatment is the use of pain assessment instruments. This is in line with </w:t>
      </w:r>
      <w:r>
        <w:rPr>
          <w:rFonts w:ascii="Times New Roman" w:hAnsi="Times New Roman" w:cs="Times New Roman"/>
          <w:bCs/>
          <w:color w:val="000000" w:themeColor="text1"/>
          <w14:textFill>
            <w14:solidFill>
              <w14:schemeClr w14:val="tx1"/>
            </w14:solidFill>
          </w14:textFill>
        </w:rPr>
        <w:fldChar w:fldCharType="begin" w:fldLock="1"/>
      </w:r>
      <w:r>
        <w:rPr>
          <w:rFonts w:ascii="Times New Roman" w:hAnsi="Times New Roman" w:cs="Times New Roman"/>
          <w:bCs/>
          <w:color w:val="000000" w:themeColor="text1"/>
          <w14:textFill>
            <w14:solidFill>
              <w14:schemeClr w14:val="tx1"/>
            </w14:solidFill>
          </w14:textFill>
        </w:rPr>
        <w:instrText xml:space="preserve">ADDIN CSL_CITATION {"citationItems":[{"id":"ITEM-1","itemData":{"abstract":"Background: Pain is the cardinal symptom common to diverse disease conditions and it is what drives many patients to seek treatment. It, therefore, commands a central position in health seeking behavior. In the post-operative period, the main concern about pain is not only the suffering it causes, but also because of its negative effects on the process of recovery. Its management has, however, remained a major challenge. Numerous myths and insufficient knowledge of pain assessment, measurement and treatment contribute to the challenges encountered by health providers in their service to patients. This study was aimed at determining the knowledge and practices among clinicians who manage postsurgical pain in a hospital setting at The Moi Teaching and Referral Hospital (MTRH) in Eldoret, Kenya. It was a cross-sectional survey. Methods: The study population consisted of Nurses, Clinical Officers and Doctors working in the post-operative areas at MTRH. A standardized questionnaire was administered to 236 hospital – based clinicians including medical doctors, nurses and clinical officers. The questionnaire consisted of diverse objective questions set according to internationally recognized pain assessment instruments. Results: Among the 236 health care professionals who were included in the study, 38 (16%) were doctors, 170 (72%) nurses and 28 (12%) clinical officers. On average the duration of time since they were engaged as healthcare providers was 9.3 years (SD=+6.7yrs). Almost all (96%) confirmed that they routinely managed post-operative pain. Clinicians who indicated that they had knowledge on how to assess and manage postoperative pain constituted 88%. Among doctors, 54% felt that they had sufficient knowledge to recognize and manage post-operative pain while the proportions of nurses and clinical officers were 41% and 43% respectively. Fifty seven percent of the participants indicated that they had inadequate knowledge regarding the tools that may be employed for pain assessment and measurement. Those who had never had any formal teaching in relation to pain evaluation and management constituted 21%. Conclusion: Overall, a significant proportion of clinicians indicated an inadequacy of knowledge regarding objective evaluation and management of post-operative pain.","author":[{"dropping-particle":"","family":"Kituyi W.P, Imbaya K.K, Wambani J.O, Sisenda T.M","given":"Kiremu R.T.","non-dropping-particle":"","parse-names":false,"suffix":""}],"container-title":"East and Central African Journal of Surgery","id":"ITEM-1","issue":"2","issued":{"date-parts":[["2011"]]},"title":"Postoperative Pain Management: Clinicians’ Knowledge and Practices on Assessment and Measurement at Moi Teaching and Referral Hospital.","type":"article-journal","volume":"16"},"uris":["http://www.mendeley.com/documents/?uuid=42acaa01-8ddc-4a59-9c6b-cb8567b895ae"]}],"mendeley":{"formattedCitation":"(Kituyi W.P, Imbaya K.K, Wambani J.O, Sisenda T.M, 2011)","manualFormatting":"Kituyi et al. (2011)","plainTextFormattedCitation":"(Kituyi W.P, Imbaya K.K, Wambani J.O, Sisenda T.M, 2011)","previouslyFormattedCitation":"(Kituyi W.P, Imbaya K.K, Wambani J.O, Sisenda T.M, 2011)"},"properties":{"noteIndex":0},"schema":"https://github.com/citation-style-language/schema/raw/master/csl-citation.json"}</w:instrText>
      </w:r>
      <w:r>
        <w:rPr>
          <w:rFonts w:ascii="Times New Roman" w:hAnsi="Times New Roman" w:cs="Times New Roman"/>
          <w:bCs/>
          <w:color w:val="000000" w:themeColor="text1"/>
          <w14:textFill>
            <w14:solidFill>
              <w14:schemeClr w14:val="tx1"/>
            </w14:solidFill>
          </w14:textFill>
        </w:rPr>
        <w:fldChar w:fldCharType="separate"/>
      </w:r>
      <w:r>
        <w:rPr>
          <w:rFonts w:ascii="Times New Roman" w:hAnsi="Times New Roman" w:cs="Times New Roman"/>
          <w:bCs/>
          <w:color w:val="000000" w:themeColor="text1"/>
          <w14:textFill>
            <w14:solidFill>
              <w14:schemeClr w14:val="tx1"/>
            </w14:solidFill>
          </w14:textFill>
        </w:rPr>
        <w:t>Kituyi et al. (2011)</w:t>
      </w:r>
      <w:r>
        <w:rPr>
          <w:rFonts w:ascii="Times New Roman" w:hAnsi="Times New Roman" w:cs="Times New Roman"/>
          <w:bCs/>
          <w:color w:val="000000" w:themeColor="text1"/>
          <w14:textFill>
            <w14:solidFill>
              <w14:schemeClr w14:val="tx1"/>
            </w14:solidFill>
          </w14:textFill>
        </w:rPr>
        <w:fldChar w:fldCharType="end"/>
      </w:r>
      <w:r>
        <w:rPr>
          <w:rFonts w:ascii="Times New Roman" w:hAnsi="Times New Roman" w:cs="Times New Roman"/>
          <w:bCs/>
          <w:color w:val="000000" w:themeColor="text1"/>
          <w14:textFill>
            <w14:solidFill>
              <w14:schemeClr w14:val="tx1"/>
            </w14:solidFill>
          </w14:textFill>
        </w:rPr>
        <w:t xml:space="preserve"> who claimed that inadequate pain assessment strategies have been blamed for impeding patients' ability to manage their pain effectively. </w:t>
      </w:r>
      <w:r>
        <w:rPr>
          <w:rFonts w:ascii="Times New Roman" w:hAnsi="Times New Roman" w:cs="Times New Roman"/>
          <w:color w:val="000000" w:themeColor="text1"/>
          <w14:textFill>
            <w14:solidFill>
              <w14:schemeClr w14:val="tx1"/>
            </w14:solidFill>
          </w14:textFill>
        </w:rPr>
        <w:t xml:space="preserve">Therefore, it is imperative that medical facilities make sure all nurses </w:t>
      </w:r>
      <w:r>
        <w:rPr>
          <w:rFonts w:ascii="Times New Roman" w:hAnsi="Times New Roman" w:cs="Times New Roman"/>
          <w:color w:val="auto"/>
        </w:rPr>
        <w:t>caring for post-operative patients use the pain assessment scale. The results imply that the respondent may easily adopt to daily use of the post operative pain assessment scale (NRS) thus improving the quality of post operative care.</w:t>
      </w:r>
    </w:p>
    <w:p>
      <w:pPr>
        <w:spacing w:line="48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 thorough assessment of the pain using standardized methods is the first step in effective pain management. This makes it easier to evaluate the success of the intercessions made in response to the various pain-alleviation needs of the patients. In most of the respondents, did not reassess pain level after intervention. The outcomes were consistent with those reported by Kaasalainen et al. (2007) who claimed that improper tool use resulted in an inaccurate estimate of the patient's discomfort. The patient's outcomes may be impacted by incorrect pain medication administration and misinterpretation of the patient's pain levels. The nurses are encouraged to carry out both pre and post pain assessments for quality care.</w:t>
      </w:r>
    </w:p>
    <w:p>
      <w:pPr>
        <w:autoSpaceDE w:val="0"/>
        <w:autoSpaceDN w:val="0"/>
        <w:adjustRightInd w:val="0"/>
        <w:spacing w:after="0" w:line="480" w:lineRule="auto"/>
        <w:contextualSpacing/>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In the current study a good number of respondent  did not document the impact of pain on functionality whereas a comprehensive evaluation of the patient and documentation makes therapy easier and aids in communication amongst medical staff  and also considered to be the first steps in proper pain management.</w:t>
      </w:r>
      <w:r>
        <w:rPr>
          <w:rFonts w:ascii="Times New Roman" w:hAnsi="Times New Roman" w:cs="Times New Roman"/>
          <w:bCs/>
          <w:color w:val="000000" w:themeColor="text1"/>
          <w:sz w:val="24"/>
          <w:szCs w:val="24"/>
          <w14:textFill>
            <w14:solidFill>
              <w14:schemeClr w14:val="tx1"/>
            </w14:solidFill>
          </w14:textFill>
        </w:rPr>
        <w:fldChar w:fldCharType="begin" w:fldLock="1"/>
      </w:r>
      <w:r>
        <w:rPr>
          <w:rFonts w:ascii="Times New Roman" w:hAnsi="Times New Roman" w:cs="Times New Roman"/>
          <w:bCs/>
          <w:color w:val="000000" w:themeColor="text1"/>
          <w:sz w:val="24"/>
          <w:szCs w:val="24"/>
          <w14:textFill>
            <w14:solidFill>
              <w14:schemeClr w14:val="tx1"/>
            </w14:solidFill>
          </w14:textFill>
        </w:rPr>
        <w:instrText xml:space="preserve">ADDIN CSL_CITATION {"citationItems":[{"id":"ITEM-1","itemData":{"DOI":"10.2147/prom.s234521","ISSN":"1179-271X","abstract":"Background: Pain management is one part of management in the postoperative period. The prevalence of moderate to severe postoperative pain and its functional interference is high in Ethiopian patients. In this study we aimed (1) to assess nurses' knowledge and attitudes regarding post-operative pain management; (2) to identify the factors of nurses' knowledge and attitudes. Method: A cross-sectional multicenter study was conducted. All nurses working in Amhara region referral hospitals were involved in the study. The Nurses' Knowledge and Attitudes Survey Regarding Pain (NKASRP) was used to measure the nurses' pain management knowledge and attitudes. Bivariable and multivariable logistic regression was used to identify factors associated with knowledge and attitude. Results: A total of 433 nurses were included. Of the total respondents, 90.6% of them had a bachelor's degree with work experience of between 1 to 5 years (58.5%). Only 76 (19.2%) participants got access to read journals and 66 (16.7%) had taken training regarding postoperative pain management. The results showed that 56.5% [95% CI= (51.6-61.3)] respondents had adequate knowledge and 8.9% [95% CI= (6.1-11.6)] of them had positive attitudes towards POP management. Higher level of education [AOR=8.2; CI= (2.51-26.83)], getting access to read journals [AOR =1.83; CI= (1.01-3.30)], and taking POP management training [AOR=8.63; CI= (3.67-20.28)] were statistically associated with adequate knowledge. Similarly, positive attitude towards postoperative pain management was associated with taking POP management training, available of pain management course in the curriculum, and getting access to read. Conclusion: Although more than half of nurses in the study area had adequate knowledge towards POP management, only a small number had a positive attitude. Taking POP management training and getting access to read journals were significantly associated with good knowledge and attitude towards POP management; therefore, regular in-service training and getting accessing reading materials (such as journals or articles) are recommended to enhance quality service to patients.","author":[{"dropping-particle":"","family":"Dessie","given":"Mengesha","non-dropping-particle":"","parse-names":false,"suffix":""},{"dropping-particle":"","family":"Asichale","given":"Agmuas","non-dropping-particle":"","parse-names":false,"suffix":""},{"dropping-particle":"","family":"Belayneh","given":"Tadesse","non-dropping-particle":"","parse-names":false,"suffix":""},{"dropping-particle":"","family":"Enyew","given":"Henos","non-dropping-particle":"","parse-names":false,"suffix":""},{"dropping-particle":"","family":"Hailekiros","given":"Amare","non-dropping-particle":"","parse-names":false,"suffix":""}],"container-title":"Patient Related Outcome Measures","id":"ITEM-1","issued":{"date-parts":[["2019"]]},"page":"395-403","title":"&lt;p&gt;Knowledge and Attitudes of Ethiopian Nursing Staff Regarding Post-Operative Pain Management: A Cross-Sectional Multicenter Study&lt;/p&gt;","type":"article-journal","volume":"Volume 10"},"uris":["http://www.mendeley.com/documents/?uuid=d0d3c093-8048-4b6c-9c49-d072ebc670dc"]}],"mendeley":{"formattedCitation":"(Dessie et al., 2019)","plainTextFormattedCitation":"(Dessie et al., 2019)","previouslyFormattedCitation":"(Dessie et al., 2019)"},"properties":{"noteIndex":0},"schema":"https://github.com/citation-style-language/schema/raw/master/csl-citation.json"}</w:instrText>
      </w:r>
      <w:r>
        <w:rPr>
          <w:rFonts w:ascii="Times New Roman" w:hAnsi="Times New Roman" w:cs="Times New Roman"/>
          <w:bCs/>
          <w:color w:val="000000" w:themeColor="text1"/>
          <w:sz w:val="24"/>
          <w:szCs w:val="24"/>
          <w14:textFill>
            <w14:solidFill>
              <w14:schemeClr w14:val="tx1"/>
            </w14:solidFill>
          </w14:textFill>
        </w:rPr>
        <w:fldChar w:fldCharType="separate"/>
      </w:r>
      <w:r>
        <w:rPr>
          <w:rFonts w:ascii="Times New Roman" w:hAnsi="Times New Roman" w:cs="Times New Roman"/>
          <w:bCs/>
          <w:color w:val="000000" w:themeColor="text1"/>
          <w:sz w:val="24"/>
          <w:szCs w:val="24"/>
          <w14:textFill>
            <w14:solidFill>
              <w14:schemeClr w14:val="tx1"/>
            </w14:solidFill>
          </w14:textFill>
        </w:rPr>
        <w:t>(Dessie et al., 2019)</w:t>
      </w:r>
      <w:r>
        <w:rPr>
          <w:rFonts w:ascii="Times New Roman" w:hAnsi="Times New Roman" w:cs="Times New Roman"/>
          <w:bCs/>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14:textFill>
            <w14:solidFill>
              <w14:schemeClr w14:val="tx1"/>
            </w14:solidFill>
          </w14:textFill>
        </w:rPr>
        <w:t xml:space="preserve">. </w:t>
      </w:r>
      <w:bookmarkStart w:id="248" w:name="_Toc142753434"/>
      <w:bookmarkStart w:id="249" w:name="_Toc134604194"/>
      <w:r>
        <w:rPr>
          <w:rFonts w:ascii="Times New Roman" w:hAnsi="Times New Roman" w:cs="Times New Roman"/>
          <w:color w:val="000000" w:themeColor="text1"/>
          <w:sz w:val="24"/>
          <w:szCs w:val="24"/>
          <w14:textFill>
            <w14:solidFill>
              <w14:schemeClr w14:val="tx1"/>
            </w14:solidFill>
          </w14:textFill>
        </w:rPr>
        <w:t>The findings could point to certain limitations in the pain assessment scale's ability to be used correctly.</w:t>
      </w:r>
    </w:p>
    <w:p>
      <w:pPr>
        <w:autoSpaceDE w:val="0"/>
        <w:autoSpaceDN w:val="0"/>
        <w:adjustRightInd w:val="0"/>
        <w:spacing w:after="0" w:line="48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Limitations of the Research</w:t>
      </w:r>
      <w:bookmarkEnd w:id="248"/>
      <w:bookmarkEnd w:id="249"/>
      <w:bookmarkStart w:id="250" w:name="_Toc142753435"/>
      <w:bookmarkStart w:id="251" w:name="_Toc134604195"/>
      <w:r>
        <w:rPr>
          <w:rFonts w:ascii="Times New Roman" w:hAnsi="Times New Roman" w:cs="Times New Roman"/>
          <w:b/>
          <w:bCs/>
          <w:sz w:val="24"/>
          <w:szCs w:val="24"/>
        </w:rPr>
        <w:t xml:space="preserve">. </w:t>
      </w:r>
    </w:p>
    <w:p>
      <w:pPr>
        <w:autoSpaceDE w:val="0"/>
        <w:autoSpaceDN w:val="0"/>
        <w:adjustRightInd w:val="0"/>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This study had limitations while providing data regarding the knowledge, attitude, and practices of nurses working in the surgical ward at Mengo Hospital. The study cannot be applied to other nurse sample populations, primarily because it was restricted to nurses who worked in the surgical wards at Mengo Hospital. It's possible that nurses with little expertise or interest in pain management chose not to participate in this study. This may suggest that non-respondents may have had knowledge and attitudes that were less favorable than those of the nurses who took part in the current study (Rieman &amp; Gordon, 2007). </w:t>
      </w:r>
    </w:p>
    <w:p>
      <w:pPr>
        <w:autoSpaceDE w:val="0"/>
        <w:autoSpaceDN w:val="0"/>
        <w:adjustRightInd w:val="0"/>
        <w:spacing w:after="0" w:line="480" w:lineRule="auto"/>
        <w:ind w:firstLine="720"/>
        <w:contextualSpacing/>
        <w:jc w:val="both"/>
        <w:rPr>
          <w:rFonts w:ascii="Times New Roman" w:hAnsi="Times New Roman" w:cs="Times New Roman"/>
          <w:b/>
          <w:sz w:val="24"/>
          <w:szCs w:val="24"/>
        </w:rPr>
      </w:pPr>
      <w:r>
        <w:rPr>
          <w:rFonts w:ascii="Times New Roman" w:hAnsi="Times New Roman" w:cs="Times New Roman"/>
          <w:sz w:val="24"/>
          <w:szCs w:val="24"/>
        </w:rPr>
        <w:t>As a result, this restricts the generalizability of the study's findings because they might not be representative of the greater population of nurses employed in Mengo Hospital's surgical ward.</w:t>
      </w:r>
    </w:p>
    <w:p>
      <w:pPr>
        <w:pStyle w:val="3"/>
        <w:spacing w:line="480" w:lineRule="auto"/>
        <w:rPr>
          <w:rFonts w:ascii="Times New Roman" w:hAnsi="Times New Roman" w:cs="Times New Roman" w:eastAsiaTheme="minorHAnsi"/>
          <w:b w:val="0"/>
          <w:sz w:val="24"/>
          <w:szCs w:val="24"/>
        </w:rPr>
      </w:pPr>
      <w:r>
        <w:rPr>
          <w:rFonts w:ascii="Times New Roman" w:hAnsi="Times New Roman" w:cs="Times New Roman" w:eastAsiaTheme="minorHAnsi"/>
          <w:b w:val="0"/>
          <w:sz w:val="24"/>
          <w:szCs w:val="24"/>
        </w:rPr>
        <w:t xml:space="preserve">The fact that the researcher only included nurses on day shift, may have excluded interested workers who would have benefited more from the intervention, given that night nurses also care for patients who have just had surgery. This suggests that the additional researcher do yet another study concentrating on both day and night nurses who care for the same patients. </w:t>
      </w:r>
    </w:p>
    <w:p>
      <w:pPr>
        <w:pStyle w:val="3"/>
        <w:spacing w:line="480" w:lineRule="auto"/>
        <w:rPr>
          <w:rFonts w:ascii="Times New Roman" w:hAnsi="Times New Roman" w:cs="Times New Roman"/>
          <w:bCs/>
          <w:sz w:val="24"/>
          <w:szCs w:val="24"/>
        </w:rPr>
      </w:pPr>
      <w:r>
        <w:rPr>
          <w:rFonts w:ascii="Times New Roman" w:hAnsi="Times New Roman" w:cs="Times New Roman"/>
          <w:bCs/>
          <w:sz w:val="24"/>
          <w:szCs w:val="24"/>
        </w:rPr>
        <w:t>Conclusion</w:t>
      </w:r>
      <w:bookmarkEnd w:id="250"/>
      <w:bookmarkEnd w:id="251"/>
    </w:p>
    <w:p>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results revealed a great improvement which was satistically significant in the nurses knowledge,attitude and practice towards post operative pain management(p= 0.01 ). Regarding the survey,  the knowledge, practice improved more. However, in the context of pain management, some fundamental areas showed a lack of knowledge and attitudes regarding pain. The main areas that revealed the greatest knowledge gaps and shortcomings were the selection of opioids, the evaluation of pain, and the incorrect assessment of pain in the absence of behavioral expressions. This is concerning since effective pain management depends on the knowledge, attitude, and abilities of healthcare professionals. The knowledge, attitude, and practice of nurses in pain management should therefore be improved, as well as their role in pain assessment, through nursing education and ongoing professional advancement/development.</w:t>
      </w:r>
    </w:p>
    <w:p>
      <w:pPr>
        <w:pStyle w:val="3"/>
        <w:spacing w:line="480" w:lineRule="auto"/>
        <w:rPr>
          <w:rFonts w:ascii="Times New Roman" w:hAnsi="Times New Roman" w:cs="Times New Roman"/>
          <w:bCs/>
          <w:sz w:val="24"/>
          <w:szCs w:val="24"/>
        </w:rPr>
      </w:pPr>
      <w:bookmarkStart w:id="252" w:name="_Toc142753436"/>
      <w:bookmarkStart w:id="253" w:name="_Toc134604196"/>
      <w:r>
        <w:rPr>
          <w:rFonts w:ascii="Times New Roman" w:hAnsi="Times New Roman" w:cs="Times New Roman"/>
          <w:bCs/>
          <w:sz w:val="24"/>
          <w:szCs w:val="24"/>
        </w:rPr>
        <w:t>Recommendations</w:t>
      </w:r>
      <w:bookmarkEnd w:id="252"/>
      <w:bookmarkEnd w:id="253"/>
    </w:p>
    <w:p>
      <w:pPr>
        <w:spacing w:line="480" w:lineRule="auto"/>
        <w:ind w:firstLine="720"/>
        <w:jc w:val="both"/>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sz w:val="24"/>
          <w:szCs w:val="24"/>
        </w:rPr>
        <w:t xml:space="preserve">Regarding the survey, it was accepted that there was a substantial knowledge gap, unfavorable attitude, and poor practice, all of which were evident in the pretest but significantly improved in the post intervention evaluation. There was no significance for the demographic variables. </w:t>
      </w: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 xml:space="preserve">In light of the fact that the education intervention of incorporating a pain assessment scale to the nurse's knowledge had a significant impact on the nurses' knowledge, attitude, and practice regarding postoperative pain management, nursing schools should give nurses adequate, accurate knowledge about the assessment and management of pain. </w:t>
      </w:r>
    </w:p>
    <w:p>
      <w:pPr>
        <w:spacing w:line="48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The results clarified the arguments in favor of the necessity for suitable educational interventions to improve nurses' knowledge, attitudes, and practices regarding post-operative pain management and expanded the suggestions of other experts. The institutions are advised to provide all nurses with continued nursing education in post-operative pain management at least once a month. Additionally, the institution's human resource department should prioritize annual sponsorship of at least one to three nurses from each surgical unit for refresher training. </w:t>
      </w:r>
    </w:p>
    <w:p>
      <w:pPr>
        <w:spacing w:line="48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The audit meeting should be promoted in the surgical, obstetric, and gynecological departments to improve the nurses' knowledge and outlook on quarterly basis towards post-operative pain management. Since effective postoperative pain management requires multidisciplinary (teamwork) care, this necessitates ongoing training and mentoring of senior staff, including doctors and nurses.</w:t>
      </w:r>
    </w:p>
    <w:p>
      <w:pPr>
        <w:spacing w:line="48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More specifically, surgical nurses must be competent to identify and manage pain in order to provide high-quality nursing care. To achieve this, more work needs to be done in health organizations, such as a quality enhancement program like the quality improvement teams (QITs), which may adopt a variety of tactics targeted at enhancing knowledge and pain management procedures. Continuous training and programs in pain management can help with this.</w:t>
      </w:r>
    </w:p>
    <w:p>
      <w:pPr>
        <w:spacing w:line="48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The researcher also suggests that rigorous and comprehensive educational programs be modified to consider the demands of nurses at both the undergraduate and graduate levels. Nursing curriculum at the undergraduate and master's level needs to be extensively examined to make sure that the knowledge presented in these modules prepares nurses to treat pain in an appropriate manner.</w:t>
      </w:r>
    </w:p>
    <w:p>
      <w:pPr>
        <w:spacing w:line="480" w:lineRule="auto"/>
        <w:ind w:firstLine="720"/>
        <w:jc w:val="both"/>
        <w:rPr>
          <w:rFonts w:ascii="Times New Roman" w:hAnsi="Times New Roman" w:cs="Times New Roman"/>
          <w:color w:val="000000" w:themeColor="text1"/>
          <w:sz w:val="24"/>
          <w:szCs w:val="24"/>
          <w14:textFill>
            <w14:solidFill>
              <w14:schemeClr w14:val="tx1"/>
            </w14:solidFill>
          </w14:textFill>
        </w:rPr>
      </w:pPr>
    </w:p>
    <w:p>
      <w:pPr>
        <w:spacing w:line="480" w:lineRule="auto"/>
        <w:ind w:firstLine="720"/>
        <w:jc w:val="both"/>
        <w:rPr>
          <w:rFonts w:ascii="Times New Roman" w:hAnsi="Times New Roman" w:cs="Times New Roman"/>
          <w:color w:val="C00000"/>
          <w:sz w:val="24"/>
          <w:szCs w:val="24"/>
        </w:rPr>
      </w:pPr>
    </w:p>
    <w:p>
      <w:pPr>
        <w:spacing w:before="100" w:beforeAutospacing="1" w:after="100" w:afterAutospacing="1" w:line="480" w:lineRule="auto"/>
        <w:ind w:right="720"/>
        <w:rPr>
          <w:rFonts w:ascii="Times New Roman" w:hAnsi="Times New Roman" w:cs="Times New Roman"/>
          <w:sz w:val="24"/>
          <w:szCs w:val="24"/>
        </w:rPr>
      </w:pPr>
    </w:p>
    <w:p>
      <w:pPr>
        <w:pStyle w:val="3"/>
        <w:jc w:val="center"/>
        <w:rPr>
          <w:rFonts w:ascii="Times New Roman" w:hAnsi="Times New Roman" w:cs="Times New Roman"/>
          <w:sz w:val="24"/>
          <w:szCs w:val="24"/>
        </w:rPr>
      </w:pPr>
      <w:bookmarkStart w:id="254" w:name="_Toc142753437"/>
    </w:p>
    <w:p>
      <w:pPr>
        <w:pStyle w:val="3"/>
        <w:jc w:val="center"/>
        <w:rPr>
          <w:rFonts w:ascii="Times New Roman" w:hAnsi="Times New Roman" w:cs="Times New Roman"/>
          <w:sz w:val="24"/>
          <w:szCs w:val="24"/>
        </w:rPr>
      </w:pPr>
    </w:p>
    <w:p>
      <w:pPr>
        <w:pStyle w:val="3"/>
        <w:jc w:val="center"/>
        <w:rPr>
          <w:rFonts w:ascii="Times New Roman" w:hAnsi="Times New Roman" w:cs="Times New Roman"/>
          <w:sz w:val="24"/>
          <w:szCs w:val="24"/>
        </w:rPr>
      </w:pPr>
    </w:p>
    <w:p>
      <w:pPr>
        <w:pStyle w:val="3"/>
        <w:jc w:val="center"/>
        <w:rPr>
          <w:rFonts w:ascii="Times New Roman" w:hAnsi="Times New Roman" w:cs="Times New Roman"/>
          <w:sz w:val="24"/>
          <w:szCs w:val="24"/>
        </w:rPr>
      </w:pPr>
      <w:r>
        <w:rPr>
          <w:rFonts w:ascii="Times New Roman" w:hAnsi="Times New Roman" w:cs="Times New Roman"/>
          <w:sz w:val="24"/>
          <w:szCs w:val="24"/>
        </w:rPr>
        <w:t xml:space="preserve">                                                                                                                              </w:t>
      </w:r>
    </w:p>
    <w:p>
      <w:pPr>
        <w:pStyle w:val="3"/>
        <w:jc w:val="center"/>
        <w:rPr>
          <w:rFonts w:ascii="Times New Roman" w:hAnsi="Times New Roman" w:cs="Times New Roman"/>
          <w:sz w:val="24"/>
          <w:szCs w:val="24"/>
        </w:rPr>
      </w:pPr>
    </w:p>
    <w:p>
      <w:pPr>
        <w:pStyle w:val="3"/>
        <w:jc w:val="center"/>
        <w:rPr>
          <w:rFonts w:ascii="Times New Roman" w:hAnsi="Times New Roman" w:cs="Times New Roman"/>
          <w:sz w:val="24"/>
          <w:szCs w:val="24"/>
        </w:rPr>
      </w:pPr>
      <w:r>
        <w:rPr>
          <w:rFonts w:ascii="Times New Roman" w:hAnsi="Times New Roman" w:cs="Times New Roman"/>
          <w:sz w:val="24"/>
          <w:szCs w:val="24"/>
        </w:rPr>
        <w:t xml:space="preserve">                                                                                                        </w:t>
      </w:r>
    </w:p>
    <w:p>
      <w:pPr>
        <w:pStyle w:val="3"/>
        <w:jc w:val="center"/>
        <w:rPr>
          <w:rFonts w:ascii="Times New Roman" w:hAnsi="Times New Roman" w:cs="Times New Roman"/>
          <w:sz w:val="24"/>
          <w:szCs w:val="24"/>
        </w:rPr>
      </w:pPr>
    </w:p>
    <w:p>
      <w:pPr>
        <w:rPr>
          <w:b/>
          <w:bCs/>
        </w:rPr>
      </w:pPr>
    </w:p>
    <w:p>
      <w:pPr>
        <w:jc w:val="center"/>
        <w:rPr>
          <w:b/>
          <w:bCs/>
        </w:rPr>
      </w:pPr>
      <w:r>
        <w:rPr>
          <w:b/>
          <w:bCs/>
        </w:rPr>
        <w:t>REFERENCES</w:t>
      </w:r>
      <w:bookmarkEnd w:id="254"/>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A. Walker-Reed, C. (2016). Clinical coaching: The means to achieving a legacy of leadership and professional development in nursing practice. </w:t>
      </w:r>
      <w:r>
        <w:rPr>
          <w:rFonts w:ascii="Times New Roman" w:hAnsi="Times New Roman" w:cs="Times New Roman"/>
          <w:i/>
          <w:iCs/>
          <w:sz w:val="24"/>
          <w:szCs w:val="24"/>
        </w:rPr>
        <w:t>Journal of Nursing Education and Practice</w:t>
      </w:r>
      <w:r>
        <w:rPr>
          <w:rFonts w:ascii="Times New Roman" w:hAnsi="Times New Roman" w:cs="Times New Roman"/>
          <w:sz w:val="24"/>
          <w:szCs w:val="24"/>
        </w:rPr>
        <w:t xml:space="preserve">, </w:t>
      </w:r>
      <w:r>
        <w:rPr>
          <w:rFonts w:ascii="Times New Roman" w:hAnsi="Times New Roman" w:cs="Times New Roman"/>
          <w:i/>
          <w:iCs/>
          <w:sz w:val="24"/>
          <w:szCs w:val="24"/>
        </w:rPr>
        <w:t>6</w:t>
      </w:r>
      <w:r>
        <w:rPr>
          <w:rFonts w:ascii="Times New Roman" w:hAnsi="Times New Roman" w:cs="Times New Roman"/>
          <w:sz w:val="24"/>
          <w:szCs w:val="24"/>
        </w:rPr>
        <w:t>(6), 41–47. https://doi.org/10.5430/jnep.v6n6p41</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A.Faithfull-Byrne, L. Thompson, K., w. Scafer, M. Williamson, W. Cross, C. M. (2017). Clinical coaches in nursing and midwifery practice: Facilitating point of care workplace learning and development. </w:t>
      </w:r>
      <w:r>
        <w:rPr>
          <w:rFonts w:ascii="Times New Roman" w:hAnsi="Times New Roman" w:cs="Times New Roman"/>
          <w:i/>
          <w:iCs/>
          <w:sz w:val="24"/>
          <w:szCs w:val="24"/>
        </w:rPr>
        <w:t>Australian College of Nursing</w:t>
      </w:r>
      <w:r>
        <w:rPr>
          <w:rFonts w:ascii="Times New Roman" w:hAnsi="Times New Roman" w:cs="Times New Roman"/>
          <w:sz w:val="24"/>
          <w:szCs w:val="24"/>
        </w:rPr>
        <w:t>.</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Adams, S. D. M., Varaei, S., &amp; Jalalinia, F. (2020). Nurses’ Knowledge and Attitude towards Postoperative Pain Management in Ghana. </w:t>
      </w:r>
      <w:r>
        <w:rPr>
          <w:rFonts w:ascii="Times New Roman" w:hAnsi="Times New Roman" w:cs="Times New Roman"/>
          <w:i/>
          <w:iCs/>
          <w:sz w:val="24"/>
          <w:szCs w:val="24"/>
        </w:rPr>
        <w:t>Pain Research and Management</w:t>
      </w:r>
      <w:r>
        <w:rPr>
          <w:rFonts w:ascii="Times New Roman" w:hAnsi="Times New Roman" w:cs="Times New Roman"/>
          <w:sz w:val="24"/>
          <w:szCs w:val="24"/>
        </w:rPr>
        <w:t xml:space="preserve">, </w:t>
      </w:r>
      <w:r>
        <w:rPr>
          <w:rFonts w:ascii="Times New Roman" w:hAnsi="Times New Roman" w:cs="Times New Roman"/>
          <w:i/>
          <w:iCs/>
          <w:sz w:val="24"/>
          <w:szCs w:val="24"/>
        </w:rPr>
        <w:t>2020</w:t>
      </w:r>
      <w:r>
        <w:rPr>
          <w:rFonts w:ascii="Times New Roman" w:hAnsi="Times New Roman" w:cs="Times New Roman"/>
          <w:sz w:val="24"/>
          <w:szCs w:val="24"/>
        </w:rPr>
        <w:t>. https://doi.org/10.1155/2020/4893707</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Al-Quliti, K. W., &amp; Alamri, M. S. (2015). Knowledge, attitudes, and practices of health care providers in Almadinah Almunawwarah, Saudi Arabia. </w:t>
      </w:r>
      <w:r>
        <w:rPr>
          <w:rFonts w:ascii="Times New Roman" w:hAnsi="Times New Roman" w:cs="Times New Roman"/>
          <w:i/>
          <w:iCs/>
          <w:sz w:val="24"/>
          <w:szCs w:val="24"/>
        </w:rPr>
        <w:t>Neurosciences</w:t>
      </w:r>
      <w:r>
        <w:rPr>
          <w:rFonts w:ascii="Times New Roman" w:hAnsi="Times New Roman" w:cs="Times New Roman"/>
          <w:sz w:val="24"/>
          <w:szCs w:val="24"/>
        </w:rPr>
        <w:t xml:space="preserve">, </w:t>
      </w:r>
      <w:r>
        <w:rPr>
          <w:rFonts w:ascii="Times New Roman" w:hAnsi="Times New Roman" w:cs="Times New Roman"/>
          <w:i/>
          <w:iCs/>
          <w:sz w:val="24"/>
          <w:szCs w:val="24"/>
        </w:rPr>
        <w:t>20</w:t>
      </w:r>
      <w:r>
        <w:rPr>
          <w:rFonts w:ascii="Times New Roman" w:hAnsi="Times New Roman" w:cs="Times New Roman"/>
          <w:sz w:val="24"/>
          <w:szCs w:val="24"/>
        </w:rPr>
        <w:t>(2), 131–136. https://doi.org/10.17712/nsj.2015.2.20140546</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Al‐sayaghi, K. M., Fadlalmola, H. A., Aljohani, W. A., Alenezi, A. M., Aljohani, D. T., Aljohani, T. A., Alsaleh, S. A., Aljohani, K. A., Aljohani, M. S., Alzahrani, N. S., Alamri, A. A., Alhousah, A. H., &amp; Khan, M. F. (2022). Nurses’ Knowledge and Attitudes Regarding Pain Assessment and Management in Saudi Arabia. </w:t>
      </w:r>
      <w:r>
        <w:rPr>
          <w:rFonts w:ascii="Times New Roman" w:hAnsi="Times New Roman" w:cs="Times New Roman"/>
          <w:i/>
          <w:iCs/>
          <w:sz w:val="24"/>
          <w:szCs w:val="24"/>
        </w:rPr>
        <w:t>Healthcare (Switzerland)</w:t>
      </w:r>
      <w:r>
        <w:rPr>
          <w:rFonts w:ascii="Times New Roman" w:hAnsi="Times New Roman" w:cs="Times New Roman"/>
          <w:sz w:val="24"/>
          <w:szCs w:val="24"/>
        </w:rPr>
        <w:t xml:space="preserve">, </w:t>
      </w:r>
      <w:r>
        <w:rPr>
          <w:rFonts w:ascii="Times New Roman" w:hAnsi="Times New Roman" w:cs="Times New Roman"/>
          <w:i/>
          <w:iCs/>
          <w:sz w:val="24"/>
          <w:szCs w:val="24"/>
        </w:rPr>
        <w:t>10</w:t>
      </w:r>
      <w:r>
        <w:rPr>
          <w:rFonts w:ascii="Times New Roman" w:hAnsi="Times New Roman" w:cs="Times New Roman"/>
          <w:sz w:val="24"/>
          <w:szCs w:val="24"/>
        </w:rPr>
        <w:t>(3). https://doi.org/10.3390/healthcare10030528</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Albaqawi, H., Maude, P., &amp; Shawhan-akl, L. (2016). </w:t>
      </w:r>
      <w:r>
        <w:rPr>
          <w:rFonts w:ascii="Times New Roman" w:hAnsi="Times New Roman" w:cs="Times New Roman"/>
          <w:i/>
          <w:iCs/>
          <w:sz w:val="24"/>
          <w:szCs w:val="24"/>
        </w:rPr>
        <w:t>Saudi Arabian Nurses ’ Knowledge and Attitudes Regarding Pain Management : Survey Results Using the KASRP</w:t>
      </w:r>
      <w:r>
        <w:rPr>
          <w:rFonts w:ascii="Times New Roman" w:hAnsi="Times New Roman" w:cs="Times New Roman"/>
          <w:sz w:val="24"/>
          <w:szCs w:val="24"/>
        </w:rPr>
        <w:t xml:space="preserve">. </w:t>
      </w:r>
      <w:r>
        <w:rPr>
          <w:rFonts w:ascii="Times New Roman" w:hAnsi="Times New Roman" w:cs="Times New Roman"/>
          <w:i/>
          <w:iCs/>
          <w:sz w:val="24"/>
          <w:szCs w:val="24"/>
        </w:rPr>
        <w:t>6</w:t>
      </w:r>
      <w:r>
        <w:rPr>
          <w:rFonts w:ascii="Times New Roman" w:hAnsi="Times New Roman" w:cs="Times New Roman"/>
          <w:sz w:val="24"/>
          <w:szCs w:val="24"/>
        </w:rPr>
        <w:t>(December), 150–164.</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Atisook, R. (2021). </w:t>
      </w:r>
      <w:r>
        <w:rPr>
          <w:rFonts w:ascii="Times New Roman" w:hAnsi="Times New Roman" w:cs="Times New Roman"/>
          <w:i/>
          <w:iCs/>
          <w:sz w:val="24"/>
          <w:szCs w:val="24"/>
        </w:rPr>
        <w:t>Validity and Utility of Four Pain Intensity Measures for Use in International Research</w:t>
      </w:r>
      <w:r>
        <w:rPr>
          <w:rFonts w:ascii="Times New Roman" w:hAnsi="Times New Roman" w:cs="Times New Roman"/>
          <w:sz w:val="24"/>
          <w:szCs w:val="24"/>
        </w:rPr>
        <w:t>. 1129–1139.</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Ayhan, F., &amp; Şerife, K. (2017). Experience of pain in patients undergoing abdominal surgery and nursing approaches to pain control. </w:t>
      </w:r>
      <w:r>
        <w:rPr>
          <w:rFonts w:ascii="Times New Roman" w:hAnsi="Times New Roman" w:cs="Times New Roman"/>
          <w:i/>
          <w:iCs/>
          <w:sz w:val="24"/>
          <w:szCs w:val="24"/>
        </w:rPr>
        <w:t>International Journal of Caring</w:t>
      </w:r>
      <w:r>
        <w:rPr>
          <w:rFonts w:ascii="Times New Roman" w:hAnsi="Times New Roman" w:cs="Times New Roman"/>
          <w:sz w:val="24"/>
          <w:szCs w:val="24"/>
        </w:rPr>
        <w:t xml:space="preserve">, </w:t>
      </w:r>
      <w:r>
        <w:rPr>
          <w:rFonts w:ascii="Times New Roman" w:hAnsi="Times New Roman" w:cs="Times New Roman"/>
          <w:i/>
          <w:iCs/>
          <w:sz w:val="24"/>
          <w:szCs w:val="24"/>
        </w:rPr>
        <w:t>10</w:t>
      </w:r>
      <w:r>
        <w:rPr>
          <w:rFonts w:ascii="Times New Roman" w:hAnsi="Times New Roman" w:cs="Times New Roman"/>
          <w:sz w:val="24"/>
          <w:szCs w:val="24"/>
        </w:rPr>
        <w:t>(3), 1456–1464. www.internationaljournalofcaringsciences.org</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Barbara, Kuhn, Timby and Smith, E. N. (2018). </w:t>
      </w:r>
      <w:r>
        <w:rPr>
          <w:rFonts w:ascii="Times New Roman" w:hAnsi="Times New Roman" w:cs="Times New Roman"/>
          <w:i/>
          <w:iCs/>
          <w:sz w:val="24"/>
          <w:szCs w:val="24"/>
        </w:rPr>
        <w:t>Introductory Medical-Surgical Nursing</w:t>
      </w:r>
      <w:r>
        <w:rPr>
          <w:rFonts w:ascii="Times New Roman" w:hAnsi="Times New Roman" w:cs="Times New Roman"/>
          <w:sz w:val="24"/>
          <w:szCs w:val="24"/>
        </w:rPr>
        <w:t>. Wolters Kluwer.</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Buvanendran, A., Fiala, J., Patel, K. A., Golden, A. D., Moric, M., &amp; Kroin, J. S. (2015). The Incidence and Severity of Postoperative Pain following Inpatient Surgery. </w:t>
      </w:r>
      <w:r>
        <w:rPr>
          <w:rFonts w:ascii="Times New Roman" w:hAnsi="Times New Roman" w:cs="Times New Roman"/>
          <w:i/>
          <w:iCs/>
          <w:sz w:val="24"/>
          <w:szCs w:val="24"/>
        </w:rPr>
        <w:t>Pain Medicine (United States)</w:t>
      </w:r>
      <w:r>
        <w:rPr>
          <w:rFonts w:ascii="Times New Roman" w:hAnsi="Times New Roman" w:cs="Times New Roman"/>
          <w:sz w:val="24"/>
          <w:szCs w:val="24"/>
        </w:rPr>
        <w:t xml:space="preserve">, </w:t>
      </w:r>
      <w:r>
        <w:rPr>
          <w:rFonts w:ascii="Times New Roman" w:hAnsi="Times New Roman" w:cs="Times New Roman"/>
          <w:i/>
          <w:iCs/>
          <w:sz w:val="24"/>
          <w:szCs w:val="24"/>
        </w:rPr>
        <w:t>16</w:t>
      </w:r>
      <w:r>
        <w:rPr>
          <w:rFonts w:ascii="Times New Roman" w:hAnsi="Times New Roman" w:cs="Times New Roman"/>
          <w:sz w:val="24"/>
          <w:szCs w:val="24"/>
        </w:rPr>
        <w:t>(12), 2277–2283. https://doi.org/10.1111/pme.12751</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Carolyn, M.-F. (2017). </w:t>
      </w:r>
      <w:r>
        <w:rPr>
          <w:rFonts w:ascii="Times New Roman" w:hAnsi="Times New Roman" w:cs="Times New Roman"/>
          <w:i/>
          <w:iCs/>
          <w:sz w:val="24"/>
          <w:szCs w:val="24"/>
        </w:rPr>
        <w:t>Pain: A content review of undergraduate pre-registration nurse education in the United Kingdom</w:t>
      </w:r>
      <w:r>
        <w:rPr>
          <w:rFonts w:ascii="Times New Roman" w:hAnsi="Times New Roman" w:cs="Times New Roman"/>
          <w:sz w:val="24"/>
          <w:szCs w:val="24"/>
        </w:rPr>
        <w:t>. https://doi.org/10.1016/j.nedt.2016.08.035.</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Chatchumni, M. (2016). Post-Operative Pain Management Practice. In </w:t>
      </w:r>
      <w:r>
        <w:rPr>
          <w:rFonts w:ascii="Times New Roman" w:hAnsi="Times New Roman" w:cs="Times New Roman"/>
          <w:i/>
          <w:iCs/>
          <w:sz w:val="24"/>
          <w:szCs w:val="24"/>
        </w:rPr>
        <w:t>current situation and challenges within nursing practice in the Thai context(Doctoral dissertition malardalen University</w:t>
      </w:r>
      <w:r>
        <w:rPr>
          <w:rFonts w:ascii="Times New Roman" w:hAnsi="Times New Roman" w:cs="Times New Roman"/>
          <w:sz w:val="24"/>
          <w:szCs w:val="24"/>
        </w:rPr>
        <w:t xml:space="preserve"> (Issue 204).</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Chatchumni, M., Namvongprom, A., Eriksson, H., &amp; Mazaheri, M. (2016). Thai Nurses’ experiences of post-operative pain assessment and its’ influence on pain management decisions. </w:t>
      </w:r>
      <w:r>
        <w:rPr>
          <w:rFonts w:ascii="Times New Roman" w:hAnsi="Times New Roman" w:cs="Times New Roman"/>
          <w:i/>
          <w:iCs/>
          <w:sz w:val="24"/>
          <w:szCs w:val="24"/>
        </w:rPr>
        <w:t>BMC Nursing</w:t>
      </w:r>
      <w:r>
        <w:rPr>
          <w:rFonts w:ascii="Times New Roman" w:hAnsi="Times New Roman" w:cs="Times New Roman"/>
          <w:sz w:val="24"/>
          <w:szCs w:val="24"/>
        </w:rPr>
        <w:t xml:space="preserve">, </w:t>
      </w:r>
      <w:r>
        <w:rPr>
          <w:rFonts w:ascii="Times New Roman" w:hAnsi="Times New Roman" w:cs="Times New Roman"/>
          <w:i/>
          <w:iCs/>
          <w:sz w:val="24"/>
          <w:szCs w:val="24"/>
        </w:rPr>
        <w:t>15</w:t>
      </w:r>
      <w:r>
        <w:rPr>
          <w:rFonts w:ascii="Times New Roman" w:hAnsi="Times New Roman" w:cs="Times New Roman"/>
          <w:sz w:val="24"/>
          <w:szCs w:val="24"/>
        </w:rPr>
        <w:t>(1), 1–9. https://doi.org/10.1186/s12912-016-0136-8</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Deldar, K., Froutan, R., &amp; Ebadi, A. (2018). Challenges faced by nurses in using pain assessment scale in patients unable to communicate: A qualitative study. </w:t>
      </w:r>
      <w:r>
        <w:rPr>
          <w:rFonts w:ascii="Times New Roman" w:hAnsi="Times New Roman" w:cs="Times New Roman"/>
          <w:i/>
          <w:iCs/>
          <w:sz w:val="24"/>
          <w:szCs w:val="24"/>
        </w:rPr>
        <w:t>BMC Nursing</w:t>
      </w:r>
      <w:r>
        <w:rPr>
          <w:rFonts w:ascii="Times New Roman" w:hAnsi="Times New Roman" w:cs="Times New Roman"/>
          <w:sz w:val="24"/>
          <w:szCs w:val="24"/>
        </w:rPr>
        <w:t xml:space="preserve">, </w:t>
      </w:r>
      <w:r>
        <w:rPr>
          <w:rFonts w:ascii="Times New Roman" w:hAnsi="Times New Roman" w:cs="Times New Roman"/>
          <w:i/>
          <w:iCs/>
          <w:sz w:val="24"/>
          <w:szCs w:val="24"/>
        </w:rPr>
        <w:t>17</w:t>
      </w:r>
      <w:r>
        <w:rPr>
          <w:rFonts w:ascii="Times New Roman" w:hAnsi="Times New Roman" w:cs="Times New Roman"/>
          <w:sz w:val="24"/>
          <w:szCs w:val="24"/>
        </w:rPr>
        <w:t>(1), 1–8. https://doi.org/10.1186/s12912-018-0281-3</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Dendir, G., Sintayehu, A., &amp; Anmut, W. (2020). Knowledge , Attitude and Practice of Nurses towards Post-operative Pain Management in Wolaita Sodo University Teaching Referral Hospital , Ethiopia , Institutional Based Cross-sectional Study Journal of Anesthesia &amp; Clinical Research. </w:t>
      </w:r>
      <w:r>
        <w:rPr>
          <w:rFonts w:ascii="Times New Roman" w:hAnsi="Times New Roman" w:cs="Times New Roman"/>
          <w:i/>
          <w:iCs/>
          <w:sz w:val="24"/>
          <w:szCs w:val="24"/>
        </w:rPr>
        <w:t>Anesthesia &amp; Clinical Research</w:t>
      </w:r>
      <w:r>
        <w:rPr>
          <w:rFonts w:ascii="Times New Roman" w:hAnsi="Times New Roman" w:cs="Times New Roman"/>
          <w:sz w:val="24"/>
          <w:szCs w:val="24"/>
        </w:rPr>
        <w:t xml:space="preserve">, </w:t>
      </w:r>
      <w:r>
        <w:rPr>
          <w:rFonts w:ascii="Times New Roman" w:hAnsi="Times New Roman" w:cs="Times New Roman"/>
          <w:i/>
          <w:iCs/>
          <w:sz w:val="24"/>
          <w:szCs w:val="24"/>
        </w:rPr>
        <w:t>January</w:t>
      </w:r>
      <w:r>
        <w:rPr>
          <w:rFonts w:ascii="Times New Roman" w:hAnsi="Times New Roman" w:cs="Times New Roman"/>
          <w:sz w:val="24"/>
          <w:szCs w:val="24"/>
        </w:rPr>
        <w:t>, 1–9. https://doi.org/10.35248/2155-6148.20.11.958</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Dessie, M., Asichale, A., Belayneh, T., Enyew, H., &amp; Hailekiros, A. (2019). &lt;p&gt;Knowledge and Attitudes of Ethiopian Nursing Staff Regarding Post-Operative Pain Management: A Cross-Sectional Multicenter Study&lt;/p&gt;. </w:t>
      </w:r>
      <w:r>
        <w:rPr>
          <w:rFonts w:ascii="Times New Roman" w:hAnsi="Times New Roman" w:cs="Times New Roman"/>
          <w:i/>
          <w:iCs/>
          <w:sz w:val="24"/>
          <w:szCs w:val="24"/>
        </w:rPr>
        <w:t>Patient Related Outcome Measures</w:t>
      </w:r>
      <w:r>
        <w:rPr>
          <w:rFonts w:ascii="Times New Roman" w:hAnsi="Times New Roman" w:cs="Times New Roman"/>
          <w:sz w:val="24"/>
          <w:szCs w:val="24"/>
        </w:rPr>
        <w:t xml:space="preserve">, </w:t>
      </w:r>
      <w:r>
        <w:rPr>
          <w:rFonts w:ascii="Times New Roman" w:hAnsi="Times New Roman" w:cs="Times New Roman"/>
          <w:i/>
          <w:iCs/>
          <w:sz w:val="24"/>
          <w:szCs w:val="24"/>
        </w:rPr>
        <w:t>Volume 10</w:t>
      </w:r>
      <w:r>
        <w:rPr>
          <w:rFonts w:ascii="Times New Roman" w:hAnsi="Times New Roman" w:cs="Times New Roman"/>
          <w:sz w:val="24"/>
          <w:szCs w:val="24"/>
        </w:rPr>
        <w:t>, 395–403. https://doi.org/10.2147/prom.s234521</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Diane Glowacki, R. (2013). Effective Pain Management and Improvements in Patients’ Outcomes and Satisfaction. </w:t>
      </w:r>
      <w:r>
        <w:rPr>
          <w:rFonts w:ascii="Times New Roman" w:hAnsi="Times New Roman" w:cs="Times New Roman"/>
          <w:i/>
          <w:iCs/>
          <w:sz w:val="24"/>
          <w:szCs w:val="24"/>
        </w:rPr>
        <w:t>CriticalCareNurse Vol</w:t>
      </w:r>
      <w:r>
        <w:rPr>
          <w:rFonts w:ascii="Times New Roman" w:hAnsi="Times New Roman" w:cs="Times New Roman"/>
          <w:sz w:val="24"/>
          <w:szCs w:val="24"/>
        </w:rPr>
        <w:t xml:space="preserve">, </w:t>
      </w:r>
      <w:r>
        <w:rPr>
          <w:rFonts w:ascii="Times New Roman" w:hAnsi="Times New Roman" w:cs="Times New Roman"/>
          <w:i/>
          <w:iCs/>
          <w:sz w:val="24"/>
          <w:szCs w:val="24"/>
        </w:rPr>
        <w:t>35</w:t>
      </w:r>
      <w:r>
        <w:rPr>
          <w:rFonts w:ascii="Times New Roman" w:hAnsi="Times New Roman" w:cs="Times New Roman"/>
          <w:sz w:val="24"/>
          <w:szCs w:val="24"/>
        </w:rPr>
        <w:t>(November), 33–43.</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Eriksson, K. (2017). </w:t>
      </w:r>
      <w:r>
        <w:rPr>
          <w:rFonts w:ascii="Times New Roman" w:hAnsi="Times New Roman" w:cs="Times New Roman"/>
          <w:i/>
          <w:iCs/>
          <w:sz w:val="24"/>
          <w:szCs w:val="24"/>
        </w:rPr>
        <w:t>Postoperative pain assessment and impact of pain on early physical recovery, from the patients’ perspective</w:t>
      </w:r>
      <w:r>
        <w:rPr>
          <w:rFonts w:ascii="Times New Roman" w:hAnsi="Times New Roman" w:cs="Times New Roman"/>
          <w:sz w:val="24"/>
          <w:szCs w:val="24"/>
        </w:rPr>
        <w:t xml:space="preserve"> (Issue 080). https://www.diva-portal.org/smash/get/diva2:1087979/FULLTEXT01.pdf</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Eti Aslan, F., Kula Şahin, S., Secginli, S., &amp; Bülbüloğlu, S. (2018). Patient satisfaction with nursing practices about postoperative pain management: A systematic review. </w:t>
      </w:r>
      <w:r>
        <w:rPr>
          <w:rFonts w:ascii="Times New Roman" w:hAnsi="Times New Roman" w:cs="Times New Roman"/>
          <w:i/>
          <w:iCs/>
          <w:sz w:val="24"/>
          <w:szCs w:val="24"/>
        </w:rPr>
        <w:t>Agri</w:t>
      </w:r>
      <w:r>
        <w:rPr>
          <w:rFonts w:ascii="Times New Roman" w:hAnsi="Times New Roman" w:cs="Times New Roman"/>
          <w:sz w:val="24"/>
          <w:szCs w:val="24"/>
        </w:rPr>
        <w:t xml:space="preserve">, </w:t>
      </w:r>
      <w:r>
        <w:rPr>
          <w:rFonts w:ascii="Times New Roman" w:hAnsi="Times New Roman" w:cs="Times New Roman"/>
          <w:i/>
          <w:iCs/>
          <w:sz w:val="24"/>
          <w:szCs w:val="24"/>
        </w:rPr>
        <w:t>30</w:t>
      </w:r>
      <w:r>
        <w:rPr>
          <w:rFonts w:ascii="Times New Roman" w:hAnsi="Times New Roman" w:cs="Times New Roman"/>
          <w:sz w:val="24"/>
          <w:szCs w:val="24"/>
        </w:rPr>
        <w:t>(3), 105–115. https://doi.org/10.5505/agri.2018.96720</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F., Denise, Polit and T. Cherry, B. (2008). </w:t>
      </w:r>
      <w:r>
        <w:rPr>
          <w:rFonts w:ascii="Times New Roman" w:hAnsi="Times New Roman" w:cs="Times New Roman"/>
          <w:i/>
          <w:iCs/>
          <w:sz w:val="24"/>
          <w:szCs w:val="24"/>
        </w:rPr>
        <w:t>Nursing Research: Generating and Assessing Evidence for Nursing Practice</w:t>
      </w:r>
      <w:r>
        <w:rPr>
          <w:rFonts w:ascii="Times New Roman" w:hAnsi="Times New Roman" w:cs="Times New Roman"/>
          <w:sz w:val="24"/>
          <w:szCs w:val="24"/>
        </w:rPr>
        <w:t xml:space="preserve"> (8th Editio). Philadelphia : Wolters Kluwer Health /Lippincott Williams &amp; Wilkins.</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Fan, M., &amp; Chen, Z. (2020). A systematic review of non‑pharmacological interventions used for pain relief after orthopedic surgical procedures. </w:t>
      </w:r>
      <w:r>
        <w:rPr>
          <w:rFonts w:ascii="Times New Roman" w:hAnsi="Times New Roman" w:cs="Times New Roman"/>
          <w:i/>
          <w:iCs/>
          <w:sz w:val="24"/>
          <w:szCs w:val="24"/>
        </w:rPr>
        <w:t>Experimental and Therapeutic Medicine</w:t>
      </w:r>
      <w:r>
        <w:rPr>
          <w:rFonts w:ascii="Times New Roman" w:hAnsi="Times New Roman" w:cs="Times New Roman"/>
          <w:sz w:val="24"/>
          <w:szCs w:val="24"/>
        </w:rPr>
        <w:t xml:space="preserve">, </w:t>
      </w:r>
      <w:r>
        <w:rPr>
          <w:rFonts w:ascii="Times New Roman" w:hAnsi="Times New Roman" w:cs="Times New Roman"/>
          <w:i/>
          <w:iCs/>
          <w:sz w:val="24"/>
          <w:szCs w:val="24"/>
        </w:rPr>
        <w:t>20</w:t>
      </w:r>
      <w:r>
        <w:rPr>
          <w:rFonts w:ascii="Times New Roman" w:hAnsi="Times New Roman" w:cs="Times New Roman"/>
          <w:sz w:val="24"/>
          <w:szCs w:val="24"/>
        </w:rPr>
        <w:t>(5), 1–1. https://doi.org/10.3892/etm.2020.9163</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Gaskell, L., &amp; Beaton, S. (2015). Developing clinical competency: Experiences and perceptions of Advanced Midwifery Practitioners in training. </w:t>
      </w:r>
      <w:r>
        <w:rPr>
          <w:rFonts w:ascii="Times New Roman" w:hAnsi="Times New Roman" w:cs="Times New Roman"/>
          <w:i/>
          <w:iCs/>
          <w:sz w:val="24"/>
          <w:szCs w:val="24"/>
        </w:rPr>
        <w:t>Nurse Education in Practice</w:t>
      </w:r>
      <w:r>
        <w:rPr>
          <w:rFonts w:ascii="Times New Roman" w:hAnsi="Times New Roman" w:cs="Times New Roman"/>
          <w:sz w:val="24"/>
          <w:szCs w:val="24"/>
        </w:rPr>
        <w:t xml:space="preserve">, </w:t>
      </w:r>
      <w:r>
        <w:rPr>
          <w:rFonts w:ascii="Times New Roman" w:hAnsi="Times New Roman" w:cs="Times New Roman"/>
          <w:i/>
          <w:iCs/>
          <w:sz w:val="24"/>
          <w:szCs w:val="24"/>
        </w:rPr>
        <w:t>15</w:t>
      </w:r>
      <w:r>
        <w:rPr>
          <w:rFonts w:ascii="Times New Roman" w:hAnsi="Times New Roman" w:cs="Times New Roman"/>
          <w:sz w:val="24"/>
          <w:szCs w:val="24"/>
        </w:rPr>
        <w:t>(4), 265–270. https://doi.org/10.1016/j.nepr.2015.03.001</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Jemebere, W. (2020). Knowledge and Attitudes of Nurses towards Postoperative Pain Management in Southern Ethiopia. </w:t>
      </w:r>
      <w:r>
        <w:rPr>
          <w:rFonts w:ascii="Times New Roman" w:hAnsi="Times New Roman" w:cs="Times New Roman"/>
          <w:i/>
          <w:iCs/>
          <w:sz w:val="24"/>
          <w:szCs w:val="24"/>
        </w:rPr>
        <w:t>SSRN Electronic Journal</w:t>
      </w:r>
      <w:r>
        <w:rPr>
          <w:rFonts w:ascii="Times New Roman" w:hAnsi="Times New Roman" w:cs="Times New Roman"/>
          <w:sz w:val="24"/>
          <w:szCs w:val="24"/>
        </w:rPr>
        <w:t xml:space="preserve">, </w:t>
      </w:r>
      <w:r>
        <w:rPr>
          <w:rFonts w:ascii="Times New Roman" w:hAnsi="Times New Roman" w:cs="Times New Roman"/>
          <w:i/>
          <w:iCs/>
          <w:sz w:val="24"/>
          <w:szCs w:val="24"/>
        </w:rPr>
        <w:t>September</w:t>
      </w:r>
      <w:r>
        <w:rPr>
          <w:rFonts w:ascii="Times New Roman" w:hAnsi="Times New Roman" w:cs="Times New Roman"/>
          <w:sz w:val="24"/>
          <w:szCs w:val="24"/>
        </w:rPr>
        <w:t>. https://doi.org/10.2139/ssrn.3693030</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Kaasalainen, S., Coker, E., Dolovich, L., Papaioannou, A., Hadjistavropoulos, T., Emili, A., &amp; Ploeg, J. (2007). Pain management decision making among long-term care physicians and nurses. </w:t>
      </w:r>
      <w:r>
        <w:rPr>
          <w:rFonts w:ascii="Times New Roman" w:hAnsi="Times New Roman" w:cs="Times New Roman"/>
          <w:i/>
          <w:iCs/>
          <w:sz w:val="24"/>
          <w:szCs w:val="24"/>
        </w:rPr>
        <w:t>Western Journal of Nursing Research</w:t>
      </w:r>
      <w:r>
        <w:rPr>
          <w:rFonts w:ascii="Times New Roman" w:hAnsi="Times New Roman" w:cs="Times New Roman"/>
          <w:sz w:val="24"/>
          <w:szCs w:val="24"/>
        </w:rPr>
        <w:t xml:space="preserve">, </w:t>
      </w:r>
      <w:r>
        <w:rPr>
          <w:rFonts w:ascii="Times New Roman" w:hAnsi="Times New Roman" w:cs="Times New Roman"/>
          <w:i/>
          <w:iCs/>
          <w:sz w:val="24"/>
          <w:szCs w:val="24"/>
        </w:rPr>
        <w:t>29</w:t>
      </w:r>
      <w:r>
        <w:rPr>
          <w:rFonts w:ascii="Times New Roman" w:hAnsi="Times New Roman" w:cs="Times New Roman"/>
          <w:sz w:val="24"/>
          <w:szCs w:val="24"/>
        </w:rPr>
        <w:t>(5), 561–580. https://doi.org/10.1177/0193945906295522</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Karlsten, R., Ström, K., &amp; Gunningberg, L. (2005). Improving assessment of postoperative pain in surgical wards by education and training. </w:t>
      </w:r>
      <w:r>
        <w:rPr>
          <w:rFonts w:ascii="Times New Roman" w:hAnsi="Times New Roman" w:cs="Times New Roman"/>
          <w:i/>
          <w:iCs/>
          <w:sz w:val="24"/>
          <w:szCs w:val="24"/>
        </w:rPr>
        <w:t>Quality and Safety in Health Care</w:t>
      </w:r>
      <w:r>
        <w:rPr>
          <w:rFonts w:ascii="Times New Roman" w:hAnsi="Times New Roman" w:cs="Times New Roman"/>
          <w:sz w:val="24"/>
          <w:szCs w:val="24"/>
        </w:rPr>
        <w:t xml:space="preserve">, </w:t>
      </w:r>
      <w:r>
        <w:rPr>
          <w:rFonts w:ascii="Times New Roman" w:hAnsi="Times New Roman" w:cs="Times New Roman"/>
          <w:i/>
          <w:iCs/>
          <w:sz w:val="24"/>
          <w:szCs w:val="24"/>
        </w:rPr>
        <w:t>14</w:t>
      </w:r>
      <w:r>
        <w:rPr>
          <w:rFonts w:ascii="Times New Roman" w:hAnsi="Times New Roman" w:cs="Times New Roman"/>
          <w:sz w:val="24"/>
          <w:szCs w:val="24"/>
        </w:rPr>
        <w:t>(5), 332–335. https://doi.org/10.1136/qshc.2004.010330</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Kidanemariam, B. Y., Elsholz, T., Simel, L. L., Tesfamariam, E. H., &amp; Andemeskel, Y. M. (2020). Utilization of non-pharmacological methods and the perceived barriers for adult postoperative pain management by the nurses at selected National Hospitals in Asmara, Eritrea. </w:t>
      </w:r>
      <w:r>
        <w:rPr>
          <w:rFonts w:ascii="Times New Roman" w:hAnsi="Times New Roman" w:cs="Times New Roman"/>
          <w:i/>
          <w:iCs/>
          <w:sz w:val="24"/>
          <w:szCs w:val="24"/>
        </w:rPr>
        <w:t>BMC Nursing</w:t>
      </w:r>
      <w:r>
        <w:rPr>
          <w:rFonts w:ascii="Times New Roman" w:hAnsi="Times New Roman" w:cs="Times New Roman"/>
          <w:sz w:val="24"/>
          <w:szCs w:val="24"/>
        </w:rPr>
        <w:t xml:space="preserve">, </w:t>
      </w:r>
      <w:r>
        <w:rPr>
          <w:rFonts w:ascii="Times New Roman" w:hAnsi="Times New Roman" w:cs="Times New Roman"/>
          <w:i/>
          <w:iCs/>
          <w:sz w:val="24"/>
          <w:szCs w:val="24"/>
        </w:rPr>
        <w:t>19</w:t>
      </w:r>
      <w:r>
        <w:rPr>
          <w:rFonts w:ascii="Times New Roman" w:hAnsi="Times New Roman" w:cs="Times New Roman"/>
          <w:sz w:val="24"/>
          <w:szCs w:val="24"/>
        </w:rPr>
        <w:t>(1), 1–10. https://doi.org/10.1186/s12912-020-00492-0</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Kiekkas, P., Gardeli, P., Bakalis, N., Stefanopoulos, N., Adamopoulou, K., Avdulla, C., Tzourala, G., &amp; Konstantinou, E. (2015). Predictors of Nurses’ Knowledge and Attitudes Toward Postoperative Pain in Greece. </w:t>
      </w:r>
      <w:r>
        <w:rPr>
          <w:rFonts w:ascii="Times New Roman" w:hAnsi="Times New Roman" w:cs="Times New Roman"/>
          <w:i/>
          <w:iCs/>
          <w:sz w:val="24"/>
          <w:szCs w:val="24"/>
        </w:rPr>
        <w:t>Pain Management Nursing</w:t>
      </w:r>
      <w:r>
        <w:rPr>
          <w:rFonts w:ascii="Times New Roman" w:hAnsi="Times New Roman" w:cs="Times New Roman"/>
          <w:sz w:val="24"/>
          <w:szCs w:val="24"/>
        </w:rPr>
        <w:t xml:space="preserve">, </w:t>
      </w:r>
      <w:r>
        <w:rPr>
          <w:rFonts w:ascii="Times New Roman" w:hAnsi="Times New Roman" w:cs="Times New Roman"/>
          <w:i/>
          <w:iCs/>
          <w:sz w:val="24"/>
          <w:szCs w:val="24"/>
        </w:rPr>
        <w:t>16</w:t>
      </w:r>
      <w:r>
        <w:rPr>
          <w:rFonts w:ascii="Times New Roman" w:hAnsi="Times New Roman" w:cs="Times New Roman"/>
          <w:sz w:val="24"/>
          <w:szCs w:val="24"/>
        </w:rPr>
        <w:t>(1), 2–10. https://doi.org/10.1016/j.pmn.2014.02.002</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Kiswezi, K., A., Masiira, M., N., &amp; Mugisa, D. (2014). Evaluation of Post operative Pain Control Following Major Surgery at Mulago Hospital. </w:t>
      </w:r>
      <w:r>
        <w:rPr>
          <w:rFonts w:ascii="Times New Roman" w:hAnsi="Times New Roman" w:cs="Times New Roman"/>
          <w:i/>
          <w:iCs/>
          <w:sz w:val="24"/>
          <w:szCs w:val="24"/>
        </w:rPr>
        <w:t>East and Central African Journal of Surgery</w:t>
      </w:r>
      <w:r>
        <w:rPr>
          <w:rFonts w:ascii="Times New Roman" w:hAnsi="Times New Roman" w:cs="Times New Roman"/>
          <w:sz w:val="24"/>
          <w:szCs w:val="24"/>
        </w:rPr>
        <w:t xml:space="preserve">, </w:t>
      </w:r>
      <w:r>
        <w:rPr>
          <w:rFonts w:ascii="Times New Roman" w:hAnsi="Times New Roman" w:cs="Times New Roman"/>
          <w:i/>
          <w:iCs/>
          <w:sz w:val="24"/>
          <w:szCs w:val="24"/>
        </w:rPr>
        <w:t>19 No.2</w:t>
      </w:r>
      <w:r>
        <w:rPr>
          <w:rFonts w:ascii="Times New Roman" w:hAnsi="Times New Roman" w:cs="Times New Roman"/>
          <w:sz w:val="24"/>
          <w:szCs w:val="24"/>
        </w:rPr>
        <w:t>.</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Kituyi W.P, Imbaya K.K, Wambani J.O, Sisenda T.M, K. R. T. (2011). Postoperative Pain Management: Clinicians’ Knowledge and Practices on Assessment and Measurement at Moi Teaching and Referral Hospital. </w:t>
      </w:r>
      <w:r>
        <w:rPr>
          <w:rFonts w:ascii="Times New Roman" w:hAnsi="Times New Roman" w:cs="Times New Roman"/>
          <w:i/>
          <w:iCs/>
          <w:sz w:val="24"/>
          <w:szCs w:val="24"/>
        </w:rPr>
        <w:t>East and Central African Journal of Surgery</w:t>
      </w:r>
      <w:r>
        <w:rPr>
          <w:rFonts w:ascii="Times New Roman" w:hAnsi="Times New Roman" w:cs="Times New Roman"/>
          <w:sz w:val="24"/>
          <w:szCs w:val="24"/>
        </w:rPr>
        <w:t xml:space="preserve">, </w:t>
      </w:r>
      <w:r>
        <w:rPr>
          <w:rFonts w:ascii="Times New Roman" w:hAnsi="Times New Roman" w:cs="Times New Roman"/>
          <w:i/>
          <w:iCs/>
          <w:sz w:val="24"/>
          <w:szCs w:val="24"/>
        </w:rPr>
        <w:t>16</w:t>
      </w:r>
      <w:r>
        <w:rPr>
          <w:rFonts w:ascii="Times New Roman" w:hAnsi="Times New Roman" w:cs="Times New Roman"/>
          <w:sz w:val="24"/>
          <w:szCs w:val="24"/>
        </w:rPr>
        <w:t>(2).</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Kiwanuka, F., &amp; Masaba, R. (2018). Nurses’ knowledge, attitude and practices regarding pain assessment among patients with cancer at Uganda Cancer Institute. </w:t>
      </w:r>
      <w:r>
        <w:rPr>
          <w:rFonts w:ascii="Times New Roman" w:hAnsi="Times New Roman" w:cs="Times New Roman"/>
          <w:i/>
          <w:iCs/>
          <w:sz w:val="24"/>
          <w:szCs w:val="24"/>
        </w:rPr>
        <w:t>Journal of Analytical Research in Clinical Medicine</w:t>
      </w:r>
      <w:r>
        <w:rPr>
          <w:rFonts w:ascii="Times New Roman" w:hAnsi="Times New Roman" w:cs="Times New Roman"/>
          <w:sz w:val="24"/>
          <w:szCs w:val="24"/>
        </w:rPr>
        <w:t xml:space="preserve">, </w:t>
      </w:r>
      <w:r>
        <w:rPr>
          <w:rFonts w:ascii="Times New Roman" w:hAnsi="Times New Roman" w:cs="Times New Roman"/>
          <w:i/>
          <w:iCs/>
          <w:sz w:val="24"/>
          <w:szCs w:val="24"/>
        </w:rPr>
        <w:t>6</w:t>
      </w:r>
      <w:r>
        <w:rPr>
          <w:rFonts w:ascii="Times New Roman" w:hAnsi="Times New Roman" w:cs="Times New Roman"/>
          <w:sz w:val="24"/>
          <w:szCs w:val="24"/>
        </w:rPr>
        <w:t>(2), 72–79. https://doi.org/10.15171/jarcm.2018.011</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Kizza, I. (2012). Nurses’ Knowledge and Practices Related to Pain Assessment in Critically ill Patients at Mulago Hospital, Uganda. </w:t>
      </w:r>
      <w:r>
        <w:rPr>
          <w:rFonts w:ascii="Times New Roman" w:hAnsi="Times New Roman" w:cs="Times New Roman"/>
          <w:i/>
          <w:iCs/>
          <w:sz w:val="24"/>
          <w:szCs w:val="24"/>
        </w:rPr>
        <w:t>Dissertation</w:t>
      </w:r>
      <w:r>
        <w:rPr>
          <w:rFonts w:ascii="Times New Roman" w:hAnsi="Times New Roman" w:cs="Times New Roman"/>
          <w:sz w:val="24"/>
          <w:szCs w:val="24"/>
        </w:rPr>
        <w:t xml:space="preserve">, </w:t>
      </w:r>
      <w:r>
        <w:rPr>
          <w:rFonts w:ascii="Times New Roman" w:hAnsi="Times New Roman" w:cs="Times New Roman"/>
          <w:i/>
          <w:iCs/>
          <w:sz w:val="24"/>
          <w:szCs w:val="24"/>
        </w:rPr>
        <w:t>November</w:t>
      </w:r>
      <w:r>
        <w:rPr>
          <w:rFonts w:ascii="Times New Roman" w:hAnsi="Times New Roman" w:cs="Times New Roman"/>
          <w:sz w:val="24"/>
          <w:szCs w:val="24"/>
        </w:rPr>
        <w:t>, 87. http://ihi.eprints.org/1598/</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Knowledge, P. N., &amp; Rieman, M. T. (2007). </w:t>
      </w:r>
      <w:r>
        <w:rPr>
          <w:rFonts w:ascii="Times New Roman" w:hAnsi="Times New Roman" w:cs="Times New Roman"/>
          <w:i/>
          <w:iCs/>
          <w:sz w:val="24"/>
          <w:szCs w:val="24"/>
        </w:rPr>
        <w:t>Pain Management Competency</w:t>
      </w:r>
      <w:r>
        <w:rPr>
          <w:rFonts w:ascii="Times New Roman" w:hAnsi="Times New Roman" w:cs="Times New Roman"/>
          <w:sz w:val="24"/>
          <w:szCs w:val="24"/>
        </w:rPr>
        <w:t xml:space="preserve">. </w:t>
      </w:r>
      <w:r>
        <w:rPr>
          <w:rFonts w:ascii="Times New Roman" w:hAnsi="Times New Roman" w:cs="Times New Roman"/>
          <w:i/>
          <w:iCs/>
          <w:sz w:val="24"/>
          <w:szCs w:val="24"/>
        </w:rPr>
        <w:t>33</w:t>
      </w:r>
      <w:r>
        <w:rPr>
          <w:rFonts w:ascii="Times New Roman" w:hAnsi="Times New Roman" w:cs="Times New Roman"/>
          <w:sz w:val="24"/>
          <w:szCs w:val="24"/>
        </w:rPr>
        <w:t>(4), 313–314.</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Komann, M., Weinmann, C., Schwenkglenks, M., &amp; Meissner, W. (2019). Non-pharmacological methods and post-operative pain relief: An observational study. </w:t>
      </w:r>
      <w:r>
        <w:rPr>
          <w:rFonts w:ascii="Times New Roman" w:hAnsi="Times New Roman" w:cs="Times New Roman"/>
          <w:i/>
          <w:iCs/>
          <w:sz w:val="24"/>
          <w:szCs w:val="24"/>
        </w:rPr>
        <w:t>Anesthesiology and Pain Medicine</w:t>
      </w:r>
      <w:r>
        <w:rPr>
          <w:rFonts w:ascii="Times New Roman" w:hAnsi="Times New Roman" w:cs="Times New Roman"/>
          <w:sz w:val="24"/>
          <w:szCs w:val="24"/>
        </w:rPr>
        <w:t xml:space="preserve">, </w:t>
      </w:r>
      <w:r>
        <w:rPr>
          <w:rFonts w:ascii="Times New Roman" w:hAnsi="Times New Roman" w:cs="Times New Roman"/>
          <w:i/>
          <w:iCs/>
          <w:sz w:val="24"/>
          <w:szCs w:val="24"/>
        </w:rPr>
        <w:t>9</w:t>
      </w:r>
      <w:r>
        <w:rPr>
          <w:rFonts w:ascii="Times New Roman" w:hAnsi="Times New Roman" w:cs="Times New Roman"/>
          <w:sz w:val="24"/>
          <w:szCs w:val="24"/>
        </w:rPr>
        <w:t>(2), 1–7. https://doi.org/10.5812/aapm.84674</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Köse Tamer, L., &amp; Sucu Dağ, G. (2020). The Assessment of Pain and the Quality of Postoperative Pain Management in Surgical Patients. </w:t>
      </w:r>
      <w:r>
        <w:rPr>
          <w:rFonts w:ascii="Times New Roman" w:hAnsi="Times New Roman" w:cs="Times New Roman"/>
          <w:i/>
          <w:iCs/>
          <w:sz w:val="24"/>
          <w:szCs w:val="24"/>
        </w:rPr>
        <w:t>SAGE Open</w:t>
      </w:r>
      <w:r>
        <w:rPr>
          <w:rFonts w:ascii="Times New Roman" w:hAnsi="Times New Roman" w:cs="Times New Roman"/>
          <w:sz w:val="24"/>
          <w:szCs w:val="24"/>
        </w:rPr>
        <w:t xml:space="preserve">, </w:t>
      </w:r>
      <w:r>
        <w:rPr>
          <w:rFonts w:ascii="Times New Roman" w:hAnsi="Times New Roman" w:cs="Times New Roman"/>
          <w:i/>
          <w:iCs/>
          <w:sz w:val="24"/>
          <w:szCs w:val="24"/>
        </w:rPr>
        <w:t>10</w:t>
      </w:r>
      <w:r>
        <w:rPr>
          <w:rFonts w:ascii="Times New Roman" w:hAnsi="Times New Roman" w:cs="Times New Roman"/>
          <w:sz w:val="24"/>
          <w:szCs w:val="24"/>
        </w:rPr>
        <w:t>(2). https://doi.org/10.1177/2158244020924377</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Le-wendling, L., Medicine, P. P., Glick, W., Medicine, P. P., Pain, P., Tighe, P., &amp; Medicine, P. P. (2018). </w:t>
      </w:r>
      <w:r>
        <w:rPr>
          <w:rFonts w:ascii="Times New Roman" w:hAnsi="Times New Roman" w:cs="Times New Roman"/>
          <w:i/>
          <w:iCs/>
          <w:sz w:val="24"/>
          <w:szCs w:val="24"/>
        </w:rPr>
        <w:t>HHS Public Access</w:t>
      </w:r>
      <w:r>
        <w:rPr>
          <w:rFonts w:ascii="Times New Roman" w:hAnsi="Times New Roman" w:cs="Times New Roman"/>
          <w:sz w:val="24"/>
          <w:szCs w:val="24"/>
        </w:rPr>
        <w:t xml:space="preserve">. </w:t>
      </w:r>
      <w:r>
        <w:rPr>
          <w:rFonts w:ascii="Times New Roman" w:hAnsi="Times New Roman" w:cs="Times New Roman"/>
          <w:i/>
          <w:iCs/>
          <w:sz w:val="24"/>
          <w:szCs w:val="24"/>
        </w:rPr>
        <w:t>32</w:t>
      </w:r>
      <w:r>
        <w:rPr>
          <w:rFonts w:ascii="Times New Roman" w:hAnsi="Times New Roman" w:cs="Times New Roman"/>
          <w:sz w:val="24"/>
          <w:szCs w:val="24"/>
        </w:rPr>
        <w:t>(4), 200–208. https://doi.org/10.1097/BTO.0000000000000245.Goals</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Maestro-Gonzalez, Alba; Mosteiro-Diaz, Pilar, M.; Fernandez-Garrido, Julio; Zuazua-Rico, D. (2021). Determinants of Knowledge of Pain among Nurses in a Tertiary Hospital in Spain. </w:t>
      </w:r>
      <w:r>
        <w:rPr>
          <w:rFonts w:ascii="Times New Roman" w:hAnsi="Times New Roman" w:cs="Times New Roman"/>
          <w:i/>
          <w:iCs/>
          <w:sz w:val="24"/>
          <w:szCs w:val="24"/>
        </w:rPr>
        <w:t>National Library of Medicine</w:t>
      </w:r>
      <w:r>
        <w:rPr>
          <w:rFonts w:ascii="Times New Roman" w:hAnsi="Times New Roman" w:cs="Times New Roman"/>
          <w:sz w:val="24"/>
          <w:szCs w:val="24"/>
        </w:rPr>
        <w:t xml:space="preserve">, </w:t>
      </w:r>
      <w:r>
        <w:rPr>
          <w:rFonts w:ascii="Times New Roman" w:hAnsi="Times New Roman" w:cs="Times New Roman"/>
          <w:i/>
          <w:iCs/>
          <w:sz w:val="24"/>
          <w:szCs w:val="24"/>
        </w:rPr>
        <w:t>22</w:t>
      </w:r>
      <w:r>
        <w:rPr>
          <w:rFonts w:ascii="Times New Roman" w:hAnsi="Times New Roman" w:cs="Times New Roman"/>
          <w:sz w:val="24"/>
          <w:szCs w:val="24"/>
        </w:rPr>
        <w:t>(3). https://doi.org/10.1016/j.pmn.2020.09.002</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Mahama, F., &amp; Ninnoni, J. P. K. (2019). Assessment and Management of Postoperative Pain among Nurses at a Resource-Constraint Teaching Hospital in Ghana. </w:t>
      </w:r>
      <w:r>
        <w:rPr>
          <w:rFonts w:ascii="Times New Roman" w:hAnsi="Times New Roman" w:cs="Times New Roman"/>
          <w:i/>
          <w:iCs/>
          <w:sz w:val="24"/>
          <w:szCs w:val="24"/>
        </w:rPr>
        <w:t>Nursing Research and Practice</w:t>
      </w:r>
      <w:r>
        <w:rPr>
          <w:rFonts w:ascii="Times New Roman" w:hAnsi="Times New Roman" w:cs="Times New Roman"/>
          <w:sz w:val="24"/>
          <w:szCs w:val="24"/>
        </w:rPr>
        <w:t xml:space="preserve">, </w:t>
      </w:r>
      <w:r>
        <w:rPr>
          <w:rFonts w:ascii="Times New Roman" w:hAnsi="Times New Roman" w:cs="Times New Roman"/>
          <w:i/>
          <w:iCs/>
          <w:sz w:val="24"/>
          <w:szCs w:val="24"/>
        </w:rPr>
        <w:t>2019</w:t>
      </w:r>
      <w:r>
        <w:rPr>
          <w:rFonts w:ascii="Times New Roman" w:hAnsi="Times New Roman" w:cs="Times New Roman"/>
          <w:sz w:val="24"/>
          <w:szCs w:val="24"/>
        </w:rPr>
        <w:t>, 1–7. https://doi.org/10.1155/2019/9091467</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Manwere, A., Chipfuwa, T., Mukwamba, M. M., &amp; Chironda, G. (2015). Knowledge and attitudes of registered nurses towards pain management of adult medical patients: A case of Bindura Hospital. </w:t>
      </w:r>
      <w:r>
        <w:rPr>
          <w:rFonts w:ascii="Times New Roman" w:hAnsi="Times New Roman" w:cs="Times New Roman"/>
          <w:i/>
          <w:iCs/>
          <w:sz w:val="24"/>
          <w:szCs w:val="24"/>
        </w:rPr>
        <w:t>Health Science Journal</w:t>
      </w:r>
      <w:r>
        <w:rPr>
          <w:rFonts w:ascii="Times New Roman" w:hAnsi="Times New Roman" w:cs="Times New Roman"/>
          <w:sz w:val="24"/>
          <w:szCs w:val="24"/>
        </w:rPr>
        <w:t xml:space="preserve">, </w:t>
      </w:r>
      <w:r>
        <w:rPr>
          <w:rFonts w:ascii="Times New Roman" w:hAnsi="Times New Roman" w:cs="Times New Roman"/>
          <w:i/>
          <w:iCs/>
          <w:sz w:val="24"/>
          <w:szCs w:val="24"/>
        </w:rPr>
        <w:t>9</w:t>
      </w:r>
      <w:r>
        <w:rPr>
          <w:rFonts w:ascii="Times New Roman" w:hAnsi="Times New Roman" w:cs="Times New Roman"/>
          <w:sz w:val="24"/>
          <w:szCs w:val="24"/>
        </w:rPr>
        <w:t>(4), 1–6.</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Masigati, H. G., &amp; Chilonga, K. S. (2014). Postoperative pain management outcomes among adults treated at a tertiary hospital in Moshi, Tanzania. </w:t>
      </w:r>
      <w:r>
        <w:rPr>
          <w:rFonts w:ascii="Times New Roman" w:hAnsi="Times New Roman" w:cs="Times New Roman"/>
          <w:i/>
          <w:iCs/>
          <w:sz w:val="24"/>
          <w:szCs w:val="24"/>
        </w:rPr>
        <w:t>Tanzania Journal of Health Research</w:t>
      </w:r>
      <w:r>
        <w:rPr>
          <w:rFonts w:ascii="Times New Roman" w:hAnsi="Times New Roman" w:cs="Times New Roman"/>
          <w:sz w:val="24"/>
          <w:szCs w:val="24"/>
        </w:rPr>
        <w:t xml:space="preserve">, </w:t>
      </w:r>
      <w:r>
        <w:rPr>
          <w:rFonts w:ascii="Times New Roman" w:hAnsi="Times New Roman" w:cs="Times New Roman"/>
          <w:i/>
          <w:iCs/>
          <w:sz w:val="24"/>
          <w:szCs w:val="24"/>
        </w:rPr>
        <w:t>16</w:t>
      </w:r>
      <w:r>
        <w:rPr>
          <w:rFonts w:ascii="Times New Roman" w:hAnsi="Times New Roman" w:cs="Times New Roman"/>
          <w:sz w:val="24"/>
          <w:szCs w:val="24"/>
        </w:rPr>
        <w:t>(1). https://doi.org/10.4314/thrb.v16i1.7</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McGillion, M., Dubrowski, A., Stremler, R., Watt-Watson, J., Campbell, F., McCartney, C., Victor, J. C., Wiseman, J., Snell, L., Costello, J., Robb, A., Nelson, S., Stinson, J., Hunter, J., Dao, T., Promislow, S., McNaughton, N., White, S., Shobbrook, C., … Silver, I. (2011). The Postoperative Pain Assessment Skills pilot trial. </w:t>
      </w:r>
      <w:r>
        <w:rPr>
          <w:rFonts w:ascii="Times New Roman" w:hAnsi="Times New Roman" w:cs="Times New Roman"/>
          <w:i/>
          <w:iCs/>
          <w:sz w:val="24"/>
          <w:szCs w:val="24"/>
        </w:rPr>
        <w:t>Pain Research and Management</w:t>
      </w:r>
      <w:r>
        <w:rPr>
          <w:rFonts w:ascii="Times New Roman" w:hAnsi="Times New Roman" w:cs="Times New Roman"/>
          <w:sz w:val="24"/>
          <w:szCs w:val="24"/>
        </w:rPr>
        <w:t xml:space="preserve">, </w:t>
      </w:r>
      <w:r>
        <w:rPr>
          <w:rFonts w:ascii="Times New Roman" w:hAnsi="Times New Roman" w:cs="Times New Roman"/>
          <w:i/>
          <w:iCs/>
          <w:sz w:val="24"/>
          <w:szCs w:val="24"/>
        </w:rPr>
        <w:t>16</w:t>
      </w:r>
      <w:r>
        <w:rPr>
          <w:rFonts w:ascii="Times New Roman" w:hAnsi="Times New Roman" w:cs="Times New Roman"/>
          <w:sz w:val="24"/>
          <w:szCs w:val="24"/>
        </w:rPr>
        <w:t>(6), 433–439. https://doi.org/10.1155/2011/278397</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Meissner, W., Coluzzi, F., Fletcher, D., Huygen, F., Morlion, B., Neugebauer, E., Pérez, A. M., &amp; Pergolizzi, J. (2015). Improving the management of post-operative acute pain: Priorities for change. </w:t>
      </w:r>
      <w:r>
        <w:rPr>
          <w:rFonts w:ascii="Times New Roman" w:hAnsi="Times New Roman" w:cs="Times New Roman"/>
          <w:i/>
          <w:iCs/>
          <w:sz w:val="24"/>
          <w:szCs w:val="24"/>
        </w:rPr>
        <w:t>Current Medical Research and Opinion</w:t>
      </w:r>
      <w:r>
        <w:rPr>
          <w:rFonts w:ascii="Times New Roman" w:hAnsi="Times New Roman" w:cs="Times New Roman"/>
          <w:sz w:val="24"/>
          <w:szCs w:val="24"/>
        </w:rPr>
        <w:t xml:space="preserve">, </w:t>
      </w:r>
      <w:r>
        <w:rPr>
          <w:rFonts w:ascii="Times New Roman" w:hAnsi="Times New Roman" w:cs="Times New Roman"/>
          <w:i/>
          <w:iCs/>
          <w:sz w:val="24"/>
          <w:szCs w:val="24"/>
        </w:rPr>
        <w:t>31</w:t>
      </w:r>
      <w:r>
        <w:rPr>
          <w:rFonts w:ascii="Times New Roman" w:hAnsi="Times New Roman" w:cs="Times New Roman"/>
          <w:sz w:val="24"/>
          <w:szCs w:val="24"/>
        </w:rPr>
        <w:t>(11), 2131–2143. https://doi.org/10.1185/03007995.2015.1092122</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Menlah, A., Garti, I., Amoo, S. A., Atakro, C. A., Amponsah, C., &amp; Agyare, D. F. (2018). Knowledge, Attitudes, and Practices of Postoperative Pain Management by Nurses in Selected District Hospitals in Ghana. </w:t>
      </w:r>
      <w:r>
        <w:rPr>
          <w:rFonts w:ascii="Times New Roman" w:hAnsi="Times New Roman" w:cs="Times New Roman"/>
          <w:i/>
          <w:iCs/>
          <w:sz w:val="24"/>
          <w:szCs w:val="24"/>
        </w:rPr>
        <w:t>SAGE Open Nursing</w:t>
      </w:r>
      <w:r>
        <w:rPr>
          <w:rFonts w:ascii="Times New Roman" w:hAnsi="Times New Roman" w:cs="Times New Roman"/>
          <w:sz w:val="24"/>
          <w:szCs w:val="24"/>
        </w:rPr>
        <w:t xml:space="preserve">, </w:t>
      </w:r>
      <w:r>
        <w:rPr>
          <w:rFonts w:ascii="Times New Roman" w:hAnsi="Times New Roman" w:cs="Times New Roman"/>
          <w:i/>
          <w:iCs/>
          <w:sz w:val="24"/>
          <w:szCs w:val="24"/>
        </w:rPr>
        <w:t>4</w:t>
      </w:r>
      <w:r>
        <w:rPr>
          <w:rFonts w:ascii="Times New Roman" w:hAnsi="Times New Roman" w:cs="Times New Roman"/>
          <w:sz w:val="24"/>
          <w:szCs w:val="24"/>
        </w:rPr>
        <w:t>, 1–11. https://doi.org/10.1177/2377960818790383</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Myles, P. S., Myles, D. B., Galagher, W., Boyd, D., Chew, C., MacDonald, N., &amp; Dennis, A. (2017). Measuring acute postoperative pain using the visual analog scale: The minimal clinically important difference and patient acceptable symptom state. </w:t>
      </w:r>
      <w:r>
        <w:rPr>
          <w:rFonts w:ascii="Times New Roman" w:hAnsi="Times New Roman" w:cs="Times New Roman"/>
          <w:i/>
          <w:iCs/>
          <w:sz w:val="24"/>
          <w:szCs w:val="24"/>
        </w:rPr>
        <w:t>British Journal of Anaesthesia</w:t>
      </w:r>
      <w:r>
        <w:rPr>
          <w:rFonts w:ascii="Times New Roman" w:hAnsi="Times New Roman" w:cs="Times New Roman"/>
          <w:sz w:val="24"/>
          <w:szCs w:val="24"/>
        </w:rPr>
        <w:t xml:space="preserve">, </w:t>
      </w:r>
      <w:r>
        <w:rPr>
          <w:rFonts w:ascii="Times New Roman" w:hAnsi="Times New Roman" w:cs="Times New Roman"/>
          <w:i/>
          <w:iCs/>
          <w:sz w:val="24"/>
          <w:szCs w:val="24"/>
        </w:rPr>
        <w:t>118</w:t>
      </w:r>
      <w:r>
        <w:rPr>
          <w:rFonts w:ascii="Times New Roman" w:hAnsi="Times New Roman" w:cs="Times New Roman"/>
          <w:sz w:val="24"/>
          <w:szCs w:val="24"/>
        </w:rPr>
        <w:t>(3), 424–429. https://doi.org/10.1093/bja/aew466</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N, Bakalis; G, Vescio; M, Chouti; E, Michalopoulou; P, kiekkas; A, Rizzuto; M, Papandrea; G, Sena; A, Barberio; V, Tiesi; D, Gallo; G, Curro; M, Ammendola; S, De Franciscis; N, F. (2018). Nursing assessment of post-operative pain in patients undergoing general (thoracic) surgery. </w:t>
      </w:r>
      <w:r>
        <w:rPr>
          <w:rFonts w:ascii="Times New Roman" w:hAnsi="Times New Roman" w:cs="Times New Roman"/>
          <w:i/>
          <w:iCs/>
          <w:sz w:val="24"/>
          <w:szCs w:val="24"/>
        </w:rPr>
        <w:t>Blood, Heart and Circulation</w:t>
      </w:r>
      <w:r>
        <w:rPr>
          <w:rFonts w:ascii="Times New Roman" w:hAnsi="Times New Roman" w:cs="Times New Roman"/>
          <w:sz w:val="24"/>
          <w:szCs w:val="24"/>
        </w:rPr>
        <w:t xml:space="preserve">, </w:t>
      </w:r>
      <w:r>
        <w:rPr>
          <w:rFonts w:ascii="Times New Roman" w:hAnsi="Times New Roman" w:cs="Times New Roman"/>
          <w:i/>
          <w:iCs/>
          <w:sz w:val="24"/>
          <w:szCs w:val="24"/>
        </w:rPr>
        <w:t>2</w:t>
      </w:r>
      <w:r>
        <w:rPr>
          <w:rFonts w:ascii="Times New Roman" w:hAnsi="Times New Roman" w:cs="Times New Roman"/>
          <w:sz w:val="24"/>
          <w:szCs w:val="24"/>
        </w:rPr>
        <w:t>(4), 1–7. https://doi.org/10.15761/BHC.1000148</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N, B., G, V., M, C., E, M., P, K., A, R., M, P., G, S., A, B., V, T., D, G., G, G., G, C., M, A., S, D. F., &amp; N, F. (2018). Nursing assessment of post-operative pain in patients undergoing general (thoracic) surgery. </w:t>
      </w:r>
      <w:r>
        <w:rPr>
          <w:rFonts w:ascii="Times New Roman" w:hAnsi="Times New Roman" w:cs="Times New Roman"/>
          <w:i/>
          <w:iCs/>
          <w:sz w:val="24"/>
          <w:szCs w:val="24"/>
        </w:rPr>
        <w:t>Blood, Heart and Circulation</w:t>
      </w:r>
      <w:r>
        <w:rPr>
          <w:rFonts w:ascii="Times New Roman" w:hAnsi="Times New Roman" w:cs="Times New Roman"/>
          <w:sz w:val="24"/>
          <w:szCs w:val="24"/>
        </w:rPr>
        <w:t xml:space="preserve">, </w:t>
      </w:r>
      <w:r>
        <w:rPr>
          <w:rFonts w:ascii="Times New Roman" w:hAnsi="Times New Roman" w:cs="Times New Roman"/>
          <w:i/>
          <w:iCs/>
          <w:sz w:val="24"/>
          <w:szCs w:val="24"/>
        </w:rPr>
        <w:t>2</w:t>
      </w:r>
      <w:r>
        <w:rPr>
          <w:rFonts w:ascii="Times New Roman" w:hAnsi="Times New Roman" w:cs="Times New Roman"/>
          <w:sz w:val="24"/>
          <w:szCs w:val="24"/>
        </w:rPr>
        <w:t>(4), 1–7. https://doi.org/10.15761/bhc.1000148</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Naresh Manandhar1,* , Isha Amatya1, Arundhati Gautam2 , Gaurav Kumar2 , Himanshu Ahlawat2 , Nitesh Adhikari2, P. K. M., &amp; </w:t>
      </w:r>
      <w:r>
        <w:rPr>
          <w:rFonts w:ascii="Times New Roman" w:hAnsi="Times New Roman" w:cs="Times New Roman"/>
          <w:sz w:val="24"/>
          <w:szCs w:val="24"/>
          <w:vertAlign w:val="superscript"/>
        </w:rPr>
        <w:t>1</w:t>
      </w:r>
      <w:r>
        <w:rPr>
          <w:rFonts w:ascii="Times New Roman" w:hAnsi="Times New Roman" w:cs="Times New Roman"/>
          <w:sz w:val="24"/>
          <w:szCs w:val="24"/>
        </w:rPr>
        <w:t xml:space="preserve">Department. (2020). </w:t>
      </w:r>
      <w:r>
        <w:rPr>
          <w:rFonts w:ascii="Times New Roman" w:hAnsi="Times New Roman" w:cs="Times New Roman"/>
          <w:i/>
          <w:iCs/>
          <w:sz w:val="24"/>
          <w:szCs w:val="24"/>
        </w:rPr>
        <w:t>Original Research Article Nurses ’ Knowledge , Attitude and Practice Regarding Postoperative Pain Management At</w:t>
      </w:r>
      <w:r>
        <w:rPr>
          <w:rFonts w:ascii="Times New Roman" w:hAnsi="Times New Roman" w:cs="Times New Roman"/>
          <w:sz w:val="24"/>
          <w:szCs w:val="24"/>
        </w:rPr>
        <w:t xml:space="preserve">. </w:t>
      </w:r>
      <w:r>
        <w:rPr>
          <w:rFonts w:ascii="Times New Roman" w:hAnsi="Times New Roman" w:cs="Times New Roman"/>
          <w:i/>
          <w:iCs/>
          <w:sz w:val="24"/>
          <w:szCs w:val="24"/>
        </w:rPr>
        <w:t>10</w:t>
      </w:r>
      <w:r>
        <w:rPr>
          <w:rFonts w:ascii="Times New Roman" w:hAnsi="Times New Roman" w:cs="Times New Roman"/>
          <w:sz w:val="24"/>
          <w:szCs w:val="24"/>
        </w:rPr>
        <w:t>(1), 53–56.</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Ninnoni, J. P. K. (2019). </w:t>
      </w:r>
      <w:r>
        <w:rPr>
          <w:rFonts w:ascii="Times New Roman" w:hAnsi="Times New Roman" w:cs="Times New Roman"/>
          <w:i/>
          <w:iCs/>
          <w:sz w:val="24"/>
          <w:szCs w:val="24"/>
        </w:rPr>
        <w:t>Assessment and Management of Postoperative Pain among Nurses at a Resource-Constraint Teaching Hospital in Ghana</w:t>
      </w:r>
      <w:r>
        <w:rPr>
          <w:rFonts w:ascii="Times New Roman" w:hAnsi="Times New Roman" w:cs="Times New Roman"/>
          <w:sz w:val="24"/>
          <w:szCs w:val="24"/>
        </w:rPr>
        <w:t xml:space="preserve">. </w:t>
      </w:r>
      <w:r>
        <w:rPr>
          <w:rFonts w:ascii="Times New Roman" w:hAnsi="Times New Roman" w:cs="Times New Roman"/>
          <w:i/>
          <w:iCs/>
          <w:sz w:val="24"/>
          <w:szCs w:val="24"/>
        </w:rPr>
        <w:t>2019</w:t>
      </w:r>
      <w:r>
        <w:rPr>
          <w:rFonts w:ascii="Times New Roman" w:hAnsi="Times New Roman" w:cs="Times New Roman"/>
          <w:sz w:val="24"/>
          <w:szCs w:val="24"/>
        </w:rPr>
        <w:t>. https://doi.org/10.1155/2019/9091467</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Oyebanji, O. J. A. (2017). Research Variables: Types, Uses and Definition of Terms. </w:t>
      </w:r>
      <w:r>
        <w:rPr>
          <w:rFonts w:ascii="Times New Roman" w:hAnsi="Times New Roman" w:cs="Times New Roman"/>
          <w:i/>
          <w:iCs/>
          <w:sz w:val="24"/>
          <w:szCs w:val="24"/>
        </w:rPr>
        <w:t>Research in Education</w:t>
      </w:r>
      <w:r>
        <w:rPr>
          <w:rFonts w:ascii="Times New Roman" w:hAnsi="Times New Roman" w:cs="Times New Roman"/>
          <w:sz w:val="24"/>
          <w:szCs w:val="24"/>
        </w:rPr>
        <w:t xml:space="preserve">, </w:t>
      </w:r>
      <w:r>
        <w:rPr>
          <w:rFonts w:ascii="Times New Roman" w:hAnsi="Times New Roman" w:cs="Times New Roman"/>
          <w:i/>
          <w:iCs/>
          <w:sz w:val="24"/>
          <w:szCs w:val="24"/>
        </w:rPr>
        <w:t>July 2017</w:t>
      </w:r>
      <w:r>
        <w:rPr>
          <w:rFonts w:ascii="Times New Roman" w:hAnsi="Times New Roman" w:cs="Times New Roman"/>
          <w:sz w:val="24"/>
          <w:szCs w:val="24"/>
        </w:rPr>
        <w:t>, 43–55. https://www.researchgate.net/publication/342897909</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Pasero, C., Quinlan-colwell, A., Rae, D., Broglio, K., &amp; Drew, D. (2016). Position Statement American Society for Pain Management Nursing Position Statement : Prescribing and Administering Opioid Doses Based Solely on Pain Intensity. </w:t>
      </w:r>
      <w:r>
        <w:rPr>
          <w:rFonts w:ascii="Times New Roman" w:hAnsi="Times New Roman" w:cs="Times New Roman"/>
          <w:i/>
          <w:iCs/>
          <w:sz w:val="24"/>
          <w:szCs w:val="24"/>
        </w:rPr>
        <w:t>Pain Management Nursing</w:t>
      </w:r>
      <w:r>
        <w:rPr>
          <w:rFonts w:ascii="Times New Roman" w:hAnsi="Times New Roman" w:cs="Times New Roman"/>
          <w:sz w:val="24"/>
          <w:szCs w:val="24"/>
        </w:rPr>
        <w:t xml:space="preserve">, </w:t>
      </w:r>
      <w:r>
        <w:rPr>
          <w:rFonts w:ascii="Times New Roman" w:hAnsi="Times New Roman" w:cs="Times New Roman"/>
          <w:i/>
          <w:iCs/>
          <w:sz w:val="24"/>
          <w:szCs w:val="24"/>
        </w:rPr>
        <w:t>17</w:t>
      </w:r>
      <w:r>
        <w:rPr>
          <w:rFonts w:ascii="Times New Roman" w:hAnsi="Times New Roman" w:cs="Times New Roman"/>
          <w:sz w:val="24"/>
          <w:szCs w:val="24"/>
        </w:rPr>
        <w:t>(3), 170–180. https://doi.org/10.1016/j.pmn.2016.03.001</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i/>
          <w:iCs/>
          <w:sz w:val="24"/>
          <w:szCs w:val="24"/>
        </w:rPr>
        <w:t>Persistent Pain ; What is it ? What can we do about it ? Impact of pain</w:t>
      </w:r>
      <w:r>
        <w:rPr>
          <w:rFonts w:ascii="Times New Roman" w:hAnsi="Times New Roman" w:cs="Times New Roman"/>
          <w:sz w:val="24"/>
          <w:szCs w:val="24"/>
        </w:rPr>
        <w:t>. (n.d.).</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Polit, D. F., &amp; Beck, C. T. (2017). </w:t>
      </w:r>
      <w:r>
        <w:rPr>
          <w:rFonts w:ascii="Times New Roman" w:hAnsi="Times New Roman" w:cs="Times New Roman"/>
          <w:i/>
          <w:iCs/>
          <w:sz w:val="24"/>
          <w:szCs w:val="24"/>
        </w:rPr>
        <w:t>Nursing research: generating and assessing evidence for nursing practice</w:t>
      </w:r>
      <w:r>
        <w:rPr>
          <w:rFonts w:ascii="Times New Roman" w:hAnsi="Times New Roman" w:cs="Times New Roman"/>
          <w:sz w:val="24"/>
          <w:szCs w:val="24"/>
        </w:rPr>
        <w:t xml:space="preserve"> (Tenth edit). Philadelphia : Wolters Kluwer Health.</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Polit Denise and Cherly Beck. (2008). </w:t>
      </w:r>
      <w:r>
        <w:rPr>
          <w:rFonts w:ascii="Times New Roman" w:hAnsi="Times New Roman" w:cs="Times New Roman"/>
          <w:i/>
          <w:iCs/>
          <w:sz w:val="24"/>
          <w:szCs w:val="24"/>
        </w:rPr>
        <w:t>Nursing Research: Generating and Assessing Evidence for Nursing Practice</w:t>
      </w:r>
      <w:r>
        <w:rPr>
          <w:rFonts w:ascii="Times New Roman" w:hAnsi="Times New Roman" w:cs="Times New Roman"/>
          <w:sz w:val="24"/>
          <w:szCs w:val="24"/>
        </w:rPr>
        <w:t xml:space="preserve"> (8th Editio). Philadelphia.</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Rahimi-Madiseh, M., Tavakol, M., &amp; Dennick, R. (2010). A quantitative study of Iranian nursing students’ knowledge and attitudes towards pain: Implication for education. </w:t>
      </w:r>
      <w:r>
        <w:rPr>
          <w:rFonts w:ascii="Times New Roman" w:hAnsi="Times New Roman" w:cs="Times New Roman"/>
          <w:i/>
          <w:iCs/>
          <w:sz w:val="24"/>
          <w:szCs w:val="24"/>
        </w:rPr>
        <w:t>International Journal of Nursing Practice</w:t>
      </w:r>
      <w:r>
        <w:rPr>
          <w:rFonts w:ascii="Times New Roman" w:hAnsi="Times New Roman" w:cs="Times New Roman"/>
          <w:sz w:val="24"/>
          <w:szCs w:val="24"/>
        </w:rPr>
        <w:t xml:space="preserve">, </w:t>
      </w:r>
      <w:r>
        <w:rPr>
          <w:rFonts w:ascii="Times New Roman" w:hAnsi="Times New Roman" w:cs="Times New Roman"/>
          <w:i/>
          <w:iCs/>
          <w:sz w:val="24"/>
          <w:szCs w:val="24"/>
        </w:rPr>
        <w:t>16</w:t>
      </w:r>
      <w:r>
        <w:rPr>
          <w:rFonts w:ascii="Times New Roman" w:hAnsi="Times New Roman" w:cs="Times New Roman"/>
          <w:sz w:val="24"/>
          <w:szCs w:val="24"/>
        </w:rPr>
        <w:t>(5), 478–483. https://doi.org/10.1111/j.1440-172X.2010.01872.x</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Salim Ahmed Nezar, Tuffaha Ghassan Mohammed, B. M. J. (2020). Impact of a pain management program on nurses’ knowledge and attitude toward pain in United Arab Emirates: Experimental-four Solomon group design. </w:t>
      </w:r>
      <w:r>
        <w:rPr>
          <w:rFonts w:ascii="Times New Roman" w:hAnsi="Times New Roman" w:cs="Times New Roman"/>
          <w:i/>
          <w:iCs/>
          <w:sz w:val="24"/>
          <w:szCs w:val="24"/>
        </w:rPr>
        <w:t>National Library of Medicine</w:t>
      </w:r>
      <w:r>
        <w:rPr>
          <w:rFonts w:ascii="Times New Roman" w:hAnsi="Times New Roman" w:cs="Times New Roman"/>
          <w:sz w:val="24"/>
          <w:szCs w:val="24"/>
        </w:rPr>
        <w:t>. https://doi.org/10.1016/j.apnr.2020.151314</w:t>
      </w:r>
    </w:p>
    <w:p>
      <w:pPr>
        <w:widowControl w:val="0"/>
        <w:autoSpaceDE w:val="0"/>
        <w:autoSpaceDN w:val="0"/>
        <w:adjustRightInd w:val="0"/>
        <w:spacing w:before="100" w:after="100" w:line="480" w:lineRule="auto"/>
        <w:ind w:left="480" w:hanging="480"/>
        <w:rPr>
          <w:rFonts w:ascii="Times New Roman" w:hAnsi="Times New Roman" w:cs="Times New Roman"/>
          <w:sz w:val="24"/>
          <w:szCs w:val="24"/>
          <w:lang w:val="fr-FR"/>
        </w:rPr>
      </w:pPr>
      <w:r>
        <w:rPr>
          <w:rFonts w:ascii="Times New Roman" w:hAnsi="Times New Roman" w:cs="Times New Roman"/>
          <w:sz w:val="24"/>
          <w:szCs w:val="24"/>
        </w:rPr>
        <w:t xml:space="preserve">Samarkandi, O. A. (2018). Knowledge and attitudes of nurses toward pain management. </w:t>
      </w:r>
      <w:r>
        <w:rPr>
          <w:rFonts w:ascii="Times New Roman" w:hAnsi="Times New Roman" w:cs="Times New Roman"/>
          <w:i/>
          <w:iCs/>
          <w:sz w:val="24"/>
          <w:szCs w:val="24"/>
          <w:lang w:val="fr-FR"/>
        </w:rPr>
        <w:t>Saudi Journal of Anaesthesia</w:t>
      </w:r>
      <w:r>
        <w:rPr>
          <w:rFonts w:ascii="Times New Roman" w:hAnsi="Times New Roman" w:cs="Times New Roman"/>
          <w:sz w:val="24"/>
          <w:szCs w:val="24"/>
          <w:lang w:val="fr-FR"/>
        </w:rPr>
        <w:t xml:space="preserve">, </w:t>
      </w:r>
      <w:r>
        <w:rPr>
          <w:rFonts w:ascii="Times New Roman" w:hAnsi="Times New Roman" w:cs="Times New Roman"/>
          <w:i/>
          <w:iCs/>
          <w:sz w:val="24"/>
          <w:szCs w:val="24"/>
          <w:lang w:val="fr-FR"/>
        </w:rPr>
        <w:t>12</w:t>
      </w:r>
      <w:r>
        <w:rPr>
          <w:rFonts w:ascii="Times New Roman" w:hAnsi="Times New Roman" w:cs="Times New Roman"/>
          <w:sz w:val="24"/>
          <w:szCs w:val="24"/>
          <w:lang w:val="fr-FR"/>
        </w:rPr>
        <w:t>(2), 220–226. https://doi.org/10.4103/sja.SJA_587_17</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lang w:val="fr-FR"/>
        </w:rPr>
        <w:t xml:space="preserve">Serra, M. A. A. de O., Filho, F. F. da S., de Albuquerque, A. de O., dos Santos, C. A. A., de Carvalho Junior, J. F., &amp; e Silva, R. de A. (2015). </w:t>
      </w:r>
      <w:r>
        <w:rPr>
          <w:rFonts w:ascii="Times New Roman" w:hAnsi="Times New Roman" w:cs="Times New Roman"/>
          <w:sz w:val="24"/>
          <w:szCs w:val="24"/>
        </w:rPr>
        <w:t xml:space="preserve">Nursing care in the immediate postoperative period: A crosssectional study. </w:t>
      </w:r>
      <w:r>
        <w:rPr>
          <w:rFonts w:ascii="Times New Roman" w:hAnsi="Times New Roman" w:cs="Times New Roman"/>
          <w:i/>
          <w:iCs/>
          <w:sz w:val="24"/>
          <w:szCs w:val="24"/>
        </w:rPr>
        <w:t>Online Brazilian Journal of Nursing</w:t>
      </w:r>
      <w:r>
        <w:rPr>
          <w:rFonts w:ascii="Times New Roman" w:hAnsi="Times New Roman" w:cs="Times New Roman"/>
          <w:sz w:val="24"/>
          <w:szCs w:val="24"/>
        </w:rPr>
        <w:t xml:space="preserve">, </w:t>
      </w:r>
      <w:r>
        <w:rPr>
          <w:rFonts w:ascii="Times New Roman" w:hAnsi="Times New Roman" w:cs="Times New Roman"/>
          <w:i/>
          <w:iCs/>
          <w:sz w:val="24"/>
          <w:szCs w:val="24"/>
        </w:rPr>
        <w:t>14</w:t>
      </w:r>
      <w:r>
        <w:rPr>
          <w:rFonts w:ascii="Times New Roman" w:hAnsi="Times New Roman" w:cs="Times New Roman"/>
          <w:sz w:val="24"/>
          <w:szCs w:val="24"/>
        </w:rPr>
        <w:t>(2), 161–167. https://doi.org/10.17665/1676-4285.20155082</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Shoqirat, N., Mahasneh, D., Al-Khawaldeh, O., &amp; Al Hadid, L. (2019). Nurses’ Knowledge, Attitudes, and Barriers Toward Pain Management Among Postoperative Patients in Jordan. </w:t>
      </w:r>
      <w:r>
        <w:rPr>
          <w:rFonts w:ascii="Times New Roman" w:hAnsi="Times New Roman" w:cs="Times New Roman"/>
          <w:i/>
          <w:iCs/>
          <w:sz w:val="24"/>
          <w:szCs w:val="24"/>
        </w:rPr>
        <w:t>Journal of Perianesthesia Nursing</w:t>
      </w:r>
      <w:r>
        <w:rPr>
          <w:rFonts w:ascii="Times New Roman" w:hAnsi="Times New Roman" w:cs="Times New Roman"/>
          <w:sz w:val="24"/>
          <w:szCs w:val="24"/>
        </w:rPr>
        <w:t xml:space="preserve">, </w:t>
      </w:r>
      <w:r>
        <w:rPr>
          <w:rFonts w:ascii="Times New Roman" w:hAnsi="Times New Roman" w:cs="Times New Roman"/>
          <w:i/>
          <w:iCs/>
          <w:sz w:val="24"/>
          <w:szCs w:val="24"/>
        </w:rPr>
        <w:t>34</w:t>
      </w:r>
      <w:r>
        <w:rPr>
          <w:rFonts w:ascii="Times New Roman" w:hAnsi="Times New Roman" w:cs="Times New Roman"/>
          <w:sz w:val="24"/>
          <w:szCs w:val="24"/>
        </w:rPr>
        <w:t>(2), 359–367. https://doi.org/10.1016/j.jopan.2018.05.012</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Şimşek Yaban, Z. (2019). Usage of Non-Pharmacologic Methods on Postoperative Pain Management by Nurses: Sample of Turkey. </w:t>
      </w:r>
      <w:r>
        <w:rPr>
          <w:rFonts w:ascii="Times New Roman" w:hAnsi="Times New Roman" w:cs="Times New Roman"/>
          <w:i/>
          <w:iCs/>
          <w:sz w:val="24"/>
          <w:szCs w:val="24"/>
        </w:rPr>
        <w:t>International Journal of Caring Sciences</w:t>
      </w:r>
      <w:r>
        <w:rPr>
          <w:rFonts w:ascii="Times New Roman" w:hAnsi="Times New Roman" w:cs="Times New Roman"/>
          <w:sz w:val="24"/>
          <w:szCs w:val="24"/>
        </w:rPr>
        <w:t xml:space="preserve">, </w:t>
      </w:r>
      <w:r>
        <w:rPr>
          <w:rFonts w:ascii="Times New Roman" w:hAnsi="Times New Roman" w:cs="Times New Roman"/>
          <w:i/>
          <w:iCs/>
          <w:sz w:val="24"/>
          <w:szCs w:val="24"/>
        </w:rPr>
        <w:t>12</w:t>
      </w:r>
      <w:r>
        <w:rPr>
          <w:rFonts w:ascii="Times New Roman" w:hAnsi="Times New Roman" w:cs="Times New Roman"/>
          <w:sz w:val="24"/>
          <w:szCs w:val="24"/>
        </w:rPr>
        <w:t>(1), 529–541. http://ezproxy.laureate.net.au/login?url=https://www.proquest.com/docview/2236692900?accountid=176901</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Wang, H. L., &amp; Tsai, Y. F. (2010). Nurses’ knowledge and barriers regarding pain management in intensive care units. </w:t>
      </w:r>
      <w:r>
        <w:rPr>
          <w:rFonts w:ascii="Times New Roman" w:hAnsi="Times New Roman" w:cs="Times New Roman"/>
          <w:i/>
          <w:iCs/>
          <w:sz w:val="24"/>
          <w:szCs w:val="24"/>
        </w:rPr>
        <w:t>Journal of Clinical Nursing</w:t>
      </w:r>
      <w:r>
        <w:rPr>
          <w:rFonts w:ascii="Times New Roman" w:hAnsi="Times New Roman" w:cs="Times New Roman"/>
          <w:sz w:val="24"/>
          <w:szCs w:val="24"/>
        </w:rPr>
        <w:t xml:space="preserve">, </w:t>
      </w:r>
      <w:r>
        <w:rPr>
          <w:rFonts w:ascii="Times New Roman" w:hAnsi="Times New Roman" w:cs="Times New Roman"/>
          <w:i/>
          <w:iCs/>
          <w:sz w:val="24"/>
          <w:szCs w:val="24"/>
        </w:rPr>
        <w:t>19</w:t>
      </w:r>
      <w:r>
        <w:rPr>
          <w:rFonts w:ascii="Times New Roman" w:hAnsi="Times New Roman" w:cs="Times New Roman"/>
          <w:sz w:val="24"/>
          <w:szCs w:val="24"/>
        </w:rPr>
        <w:t>(21–22), 3188–3196. https://doi.org/10.1111/j.1365-2702.2010.03226.x</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Yin, H. H., Tse, M. M. Y., &amp; Wong, F. K. Y. (2015). Systematic review of the predisposing, enabling, and reinforcing factors which influence nursing administration of opioids in the postoperative period. </w:t>
      </w:r>
      <w:r>
        <w:rPr>
          <w:rFonts w:ascii="Times New Roman" w:hAnsi="Times New Roman" w:cs="Times New Roman"/>
          <w:i/>
          <w:iCs/>
          <w:sz w:val="24"/>
          <w:szCs w:val="24"/>
        </w:rPr>
        <w:t>Japan Journal of Nursing Science</w:t>
      </w:r>
      <w:r>
        <w:rPr>
          <w:rFonts w:ascii="Times New Roman" w:hAnsi="Times New Roman" w:cs="Times New Roman"/>
          <w:sz w:val="24"/>
          <w:szCs w:val="24"/>
        </w:rPr>
        <w:t xml:space="preserve">, </w:t>
      </w:r>
      <w:r>
        <w:rPr>
          <w:rFonts w:ascii="Times New Roman" w:hAnsi="Times New Roman" w:cs="Times New Roman"/>
          <w:i/>
          <w:iCs/>
          <w:sz w:val="24"/>
          <w:szCs w:val="24"/>
        </w:rPr>
        <w:t>12</w:t>
      </w:r>
      <w:r>
        <w:rPr>
          <w:rFonts w:ascii="Times New Roman" w:hAnsi="Times New Roman" w:cs="Times New Roman"/>
          <w:sz w:val="24"/>
          <w:szCs w:val="24"/>
        </w:rPr>
        <w:t>(4), 259–275. https://doi.org/10.1111/jjns.12075</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Yüceer, S. (2011). Nursing approaches in the postoperative pain management. </w:t>
      </w:r>
      <w:r>
        <w:rPr>
          <w:rFonts w:ascii="Times New Roman" w:hAnsi="Times New Roman" w:cs="Times New Roman"/>
          <w:i/>
          <w:iCs/>
          <w:sz w:val="24"/>
          <w:szCs w:val="24"/>
        </w:rPr>
        <w:t>Journal of Clinical and Experimental Investigations</w:t>
      </w:r>
      <w:r>
        <w:rPr>
          <w:rFonts w:ascii="Times New Roman" w:hAnsi="Times New Roman" w:cs="Times New Roman"/>
          <w:sz w:val="24"/>
          <w:szCs w:val="24"/>
        </w:rPr>
        <w:t xml:space="preserve">, </w:t>
      </w:r>
      <w:r>
        <w:rPr>
          <w:rFonts w:ascii="Times New Roman" w:hAnsi="Times New Roman" w:cs="Times New Roman"/>
          <w:i/>
          <w:iCs/>
          <w:sz w:val="24"/>
          <w:szCs w:val="24"/>
        </w:rPr>
        <w:t>2</w:t>
      </w:r>
      <w:r>
        <w:rPr>
          <w:rFonts w:ascii="Times New Roman" w:hAnsi="Times New Roman" w:cs="Times New Roman"/>
          <w:sz w:val="24"/>
          <w:szCs w:val="24"/>
        </w:rPr>
        <w:t>(4), 474–478. https://doi.org/10.5799/ahinjs.01.2011.04.0100</w:t>
      </w:r>
    </w:p>
    <w:p>
      <w:pPr>
        <w:widowControl w:val="0"/>
        <w:autoSpaceDE w:val="0"/>
        <w:autoSpaceDN w:val="0"/>
        <w:adjustRightInd w:val="0"/>
        <w:spacing w:before="100" w:after="100" w:line="480" w:lineRule="auto"/>
        <w:ind w:left="480" w:hanging="480"/>
        <w:rPr>
          <w:rFonts w:ascii="Times New Roman" w:hAnsi="Times New Roman" w:cs="Times New Roman"/>
          <w:sz w:val="24"/>
          <w:szCs w:val="24"/>
        </w:rPr>
      </w:pPr>
      <w:r>
        <w:rPr>
          <w:rFonts w:ascii="Times New Roman" w:hAnsi="Times New Roman" w:cs="Times New Roman"/>
          <w:sz w:val="24"/>
          <w:szCs w:val="24"/>
        </w:rPr>
        <w:t xml:space="preserve">Zeb, A., Farhana, Jewewria, Marym, &amp; Nadra Bi Bi, U. (2019). Nurses Knowledge Regarding Post-operative Pain Management. </w:t>
      </w:r>
      <w:r>
        <w:rPr>
          <w:rFonts w:ascii="Times New Roman" w:hAnsi="Times New Roman" w:cs="Times New Roman"/>
          <w:i/>
          <w:iCs/>
          <w:sz w:val="24"/>
          <w:szCs w:val="24"/>
        </w:rPr>
        <w:t>Journal of Healthcare Communications</w:t>
      </w:r>
      <w:r>
        <w:rPr>
          <w:rFonts w:ascii="Times New Roman" w:hAnsi="Times New Roman" w:cs="Times New Roman"/>
          <w:sz w:val="24"/>
          <w:szCs w:val="24"/>
        </w:rPr>
        <w:t xml:space="preserve">, </w:t>
      </w:r>
      <w:r>
        <w:rPr>
          <w:rFonts w:ascii="Times New Roman" w:hAnsi="Times New Roman" w:cs="Times New Roman"/>
          <w:i/>
          <w:iCs/>
          <w:sz w:val="24"/>
          <w:szCs w:val="24"/>
        </w:rPr>
        <w:t>04</w:t>
      </w:r>
      <w:r>
        <w:rPr>
          <w:rFonts w:ascii="Times New Roman" w:hAnsi="Times New Roman" w:cs="Times New Roman"/>
          <w:sz w:val="24"/>
          <w:szCs w:val="24"/>
        </w:rPr>
        <w:t>(01), 4–7. https://doi.org/10.4172/2472-1654.100151</w:t>
      </w:r>
    </w:p>
    <w:p>
      <w:pPr>
        <w:pStyle w:val="3"/>
        <w:rPr>
          <w:rFonts w:ascii="Times New Roman" w:hAnsi="Times New Roman" w:cs="Times New Roman"/>
          <w:sz w:val="24"/>
          <w:szCs w:val="24"/>
        </w:rPr>
      </w:pPr>
      <w:r>
        <w:rPr>
          <w:rFonts w:ascii="Times New Roman" w:hAnsi="Times New Roman" w:cs="Times New Roman"/>
          <w:sz w:val="24"/>
          <w:szCs w:val="24"/>
        </w:rPr>
        <w:fldChar w:fldCharType="end"/>
      </w:r>
      <w:bookmarkStart w:id="255" w:name="_Toc142753438"/>
      <w:r>
        <w:rPr>
          <w:rFonts w:ascii="Times New Roman" w:hAnsi="Times New Roman" w:cs="Times New Roman"/>
          <w:sz w:val="24"/>
          <w:szCs w:val="24"/>
        </w:rPr>
        <w:t>APPENDICES</w:t>
      </w:r>
      <w:bookmarkEnd w:id="255"/>
    </w:p>
    <w:p>
      <w:pPr>
        <w:pStyle w:val="3"/>
        <w:rPr>
          <w:rFonts w:ascii="Times New Roman" w:hAnsi="Times New Roman" w:cs="Times New Roman"/>
          <w:b w:val="0"/>
          <w:sz w:val="24"/>
          <w:szCs w:val="24"/>
        </w:rPr>
      </w:pPr>
      <w:bookmarkStart w:id="256" w:name="_Toc134604197"/>
      <w:bookmarkStart w:id="257" w:name="_Toc142753439"/>
      <w:r>
        <w:rPr>
          <w:rFonts w:ascii="Times New Roman" w:hAnsi="Times New Roman" w:cs="Times New Roman"/>
          <w:sz w:val="24"/>
          <w:szCs w:val="24"/>
        </w:rPr>
        <w:t>Appendix A: Questionnaire</w:t>
      </w:r>
      <w:bookmarkEnd w:id="256"/>
      <w:bookmarkEnd w:id="257"/>
      <w:r>
        <w:rPr>
          <w:rFonts w:ascii="Times New Roman" w:hAnsi="Times New Roman" w:cs="Times New Roman"/>
          <w:sz w:val="24"/>
          <w:szCs w:val="24"/>
        </w:rPr>
        <w:t xml:space="preserve"> </w:t>
      </w:r>
    </w:p>
    <w:p>
      <w:pPr>
        <w:autoSpaceDE w:val="0"/>
        <w:autoSpaceDN w:val="0"/>
        <w:adjustRightInd w:val="0"/>
        <w:spacing w:line="360" w:lineRule="auto"/>
        <w:rPr>
          <w:rFonts w:ascii="Times New Roman" w:hAnsi="Times New Roman" w:eastAsia="MS Mincho" w:cs="Times New Roman"/>
          <w:sz w:val="24"/>
          <w:szCs w:val="24"/>
        </w:rPr>
      </w:pPr>
      <w:r>
        <w:rPr>
          <w:rFonts w:ascii="Times New Roman" w:hAnsi="Times New Roman" w:eastAsia="MS Mincho" w:cs="Times New Roman"/>
          <w:sz w:val="24"/>
          <w:szCs w:val="24"/>
        </w:rPr>
        <w:t xml:space="preserve">Questionnaire code     </w:t>
      </w:r>
      <w:r>
        <w:rPr>
          <w:rFonts w:ascii="Times New Roman" w:hAnsi="Times New Roman" w:eastAsia="MS Mincho" w:cs="Times New Roman"/>
          <w:sz w:val="24"/>
          <w:szCs w:val="24"/>
          <w:u w:val="single"/>
        </w:rPr>
        <w:t xml:space="preserve">                  </w:t>
      </w:r>
      <w:r>
        <w:rPr>
          <w:rFonts w:ascii="Times New Roman" w:hAnsi="Times New Roman" w:eastAsia="MS Mincho" w:cs="Times New Roman"/>
          <w:sz w:val="24"/>
          <w:szCs w:val="24"/>
        </w:rPr>
        <w:t xml:space="preserve"> Date of interview   __________</w:t>
      </w:r>
    </w:p>
    <w:p>
      <w:pPr>
        <w:autoSpaceDE w:val="0"/>
        <w:autoSpaceDN w:val="0"/>
        <w:adjustRightInd w:val="0"/>
        <w:spacing w:line="360" w:lineRule="auto"/>
        <w:rPr>
          <w:rFonts w:ascii="Times New Roman" w:hAnsi="Times New Roman" w:eastAsia="MS Mincho" w:cs="Times New Roman"/>
          <w:sz w:val="24"/>
          <w:szCs w:val="24"/>
        </w:rPr>
      </w:pPr>
      <w:r>
        <w:rPr>
          <w:rFonts w:ascii="Times New Roman" w:hAnsi="Times New Roman" w:eastAsia="MS Mincho" w:cs="Times New Roman"/>
          <w:sz w:val="24"/>
          <w:szCs w:val="24"/>
        </w:rPr>
        <w:t>The questionnaire is going to examine the nurse’s knowledge and attitude toward postoperative pain management using a pain assessment scale.  It consists of three parts: -</w:t>
      </w:r>
    </w:p>
    <w:p>
      <w:pPr>
        <w:autoSpaceDE w:val="0"/>
        <w:autoSpaceDN w:val="0"/>
        <w:adjustRightInd w:val="0"/>
        <w:spacing w:line="360" w:lineRule="auto"/>
        <w:rPr>
          <w:rFonts w:ascii="Times New Roman" w:hAnsi="Times New Roman" w:eastAsia="MS Mincho" w:cs="Times New Roman"/>
          <w:sz w:val="24"/>
          <w:szCs w:val="24"/>
        </w:rPr>
      </w:pPr>
      <w:r>
        <w:rPr>
          <w:rFonts w:ascii="Times New Roman" w:hAnsi="Times New Roman" w:eastAsia="MS Mincho" w:cs="Times New Roman"/>
          <w:sz w:val="24"/>
          <w:szCs w:val="24"/>
        </w:rPr>
        <w:t>Part 1 consists of demographic data.</w:t>
      </w:r>
    </w:p>
    <w:p>
      <w:pPr>
        <w:autoSpaceDE w:val="0"/>
        <w:autoSpaceDN w:val="0"/>
        <w:adjustRightInd w:val="0"/>
        <w:spacing w:line="360" w:lineRule="auto"/>
        <w:rPr>
          <w:rFonts w:ascii="Times New Roman" w:hAnsi="Times New Roman" w:eastAsia="MS Mincho" w:cs="Times New Roman"/>
          <w:sz w:val="24"/>
          <w:szCs w:val="24"/>
        </w:rPr>
      </w:pPr>
      <w:r>
        <w:rPr>
          <w:rFonts w:ascii="Times New Roman" w:hAnsi="Times New Roman" w:eastAsia="MS Mincho" w:cs="Times New Roman"/>
          <w:sz w:val="24"/>
          <w:szCs w:val="24"/>
        </w:rPr>
        <w:t xml:space="preserve">Part 11 focuses on the knowledge questions. </w:t>
      </w:r>
    </w:p>
    <w:p>
      <w:pPr>
        <w:autoSpaceDE w:val="0"/>
        <w:autoSpaceDN w:val="0"/>
        <w:adjustRightInd w:val="0"/>
        <w:spacing w:line="360" w:lineRule="auto"/>
        <w:rPr>
          <w:rFonts w:ascii="Times New Roman" w:hAnsi="Times New Roman" w:eastAsia="MS Mincho" w:cs="Times New Roman"/>
          <w:sz w:val="24"/>
          <w:szCs w:val="24"/>
        </w:rPr>
      </w:pPr>
      <w:r>
        <w:rPr>
          <w:rFonts w:ascii="Times New Roman" w:hAnsi="Times New Roman" w:eastAsia="MS Mincho" w:cs="Times New Roman"/>
          <w:sz w:val="24"/>
          <w:szCs w:val="24"/>
        </w:rPr>
        <w:t xml:space="preserve">Part 111 consists of questions to determine the attitude. </w:t>
      </w:r>
    </w:p>
    <w:p>
      <w:pPr>
        <w:autoSpaceDE w:val="0"/>
        <w:autoSpaceDN w:val="0"/>
        <w:adjustRightInd w:val="0"/>
        <w:spacing w:line="360" w:lineRule="auto"/>
        <w:rPr>
          <w:rFonts w:ascii="Times New Roman" w:hAnsi="Times New Roman" w:eastAsia="MS Mincho" w:cs="Times New Roman"/>
          <w:b/>
          <w:sz w:val="24"/>
          <w:szCs w:val="24"/>
        </w:rPr>
      </w:pPr>
      <w:r>
        <w:rPr>
          <w:rFonts w:ascii="Times New Roman" w:hAnsi="Times New Roman" w:eastAsia="MS Mincho" w:cs="Times New Roman"/>
          <w:b/>
          <w:sz w:val="24"/>
          <w:szCs w:val="24"/>
        </w:rPr>
        <w:t>Part 1: Demographic characteristics</w:t>
      </w:r>
    </w:p>
    <w:p>
      <w:pPr>
        <w:pStyle w:val="24"/>
        <w:numPr>
          <w:ilvl w:val="0"/>
          <w:numId w:val="13"/>
        </w:numPr>
        <w:autoSpaceDE w:val="0"/>
        <w:autoSpaceDN w:val="0"/>
        <w:adjustRightInd w:val="0"/>
        <w:spacing w:line="360" w:lineRule="auto"/>
        <w:ind w:left="360"/>
      </w:pPr>
      <w:r>
        <w:t xml:space="preserve">Age in years   ----------- </w:t>
      </w:r>
    </w:p>
    <w:p>
      <w:pPr>
        <w:pStyle w:val="24"/>
        <w:autoSpaceDE w:val="0"/>
        <w:autoSpaceDN w:val="0"/>
        <w:adjustRightInd w:val="0"/>
        <w:spacing w:line="360" w:lineRule="auto"/>
        <w:ind w:left="360"/>
      </w:pPr>
    </w:p>
    <w:p>
      <w:pPr>
        <w:pStyle w:val="24"/>
        <w:numPr>
          <w:ilvl w:val="0"/>
          <w:numId w:val="13"/>
        </w:numPr>
        <w:autoSpaceDE w:val="0"/>
        <w:autoSpaceDN w:val="0"/>
        <w:adjustRightInd w:val="0"/>
        <w:spacing w:line="360" w:lineRule="auto"/>
        <w:ind w:left="360"/>
      </w:pPr>
      <w:r>
        <w:t>Sex:     Male:  ---------- Female ……….</w:t>
      </w:r>
    </w:p>
    <w:p>
      <w:pPr>
        <w:pStyle w:val="24"/>
        <w:autoSpaceDE w:val="0"/>
        <w:autoSpaceDN w:val="0"/>
        <w:adjustRightInd w:val="0"/>
        <w:spacing w:line="360" w:lineRule="auto"/>
        <w:ind w:left="360"/>
      </w:pPr>
    </w:p>
    <w:p>
      <w:pPr>
        <w:pStyle w:val="24"/>
        <w:numPr>
          <w:ilvl w:val="0"/>
          <w:numId w:val="13"/>
        </w:numPr>
        <w:autoSpaceDE w:val="0"/>
        <w:autoSpaceDN w:val="0"/>
        <w:adjustRightInd w:val="0"/>
        <w:spacing w:line="360" w:lineRule="auto"/>
        <w:ind w:left="360"/>
      </w:pPr>
      <w:r>
        <w:t xml:space="preserve">Qualification </w:t>
      </w:r>
    </w:p>
    <w:p>
      <w:pPr>
        <w:pStyle w:val="24"/>
        <w:numPr>
          <w:ilvl w:val="1"/>
          <w:numId w:val="13"/>
        </w:numPr>
        <w:autoSpaceDE w:val="0"/>
        <w:autoSpaceDN w:val="0"/>
        <w:adjustRightInd w:val="0"/>
        <w:spacing w:line="360" w:lineRule="auto"/>
      </w:pPr>
      <w:r>
        <w:t xml:space="preserve">Certificate </w:t>
      </w:r>
    </w:p>
    <w:p>
      <w:pPr>
        <w:pStyle w:val="24"/>
        <w:numPr>
          <w:ilvl w:val="1"/>
          <w:numId w:val="13"/>
        </w:numPr>
        <w:autoSpaceDE w:val="0"/>
        <w:autoSpaceDN w:val="0"/>
        <w:adjustRightInd w:val="0"/>
        <w:spacing w:line="360" w:lineRule="auto"/>
      </w:pPr>
      <w:r>
        <w:t xml:space="preserve">Diploma </w:t>
      </w:r>
    </w:p>
    <w:p>
      <w:pPr>
        <w:pStyle w:val="24"/>
        <w:numPr>
          <w:ilvl w:val="1"/>
          <w:numId w:val="13"/>
        </w:numPr>
        <w:autoSpaceDE w:val="0"/>
        <w:autoSpaceDN w:val="0"/>
        <w:adjustRightInd w:val="0"/>
        <w:spacing w:line="360" w:lineRule="auto"/>
      </w:pPr>
      <w:r>
        <w:t xml:space="preserve">Degree </w:t>
      </w:r>
    </w:p>
    <w:p>
      <w:pPr>
        <w:pStyle w:val="24"/>
        <w:numPr>
          <w:ilvl w:val="1"/>
          <w:numId w:val="13"/>
        </w:numPr>
        <w:autoSpaceDE w:val="0"/>
        <w:autoSpaceDN w:val="0"/>
        <w:adjustRightInd w:val="0"/>
        <w:spacing w:line="360" w:lineRule="auto"/>
      </w:pPr>
      <w:r>
        <w:t>Masters</w:t>
      </w:r>
    </w:p>
    <w:p>
      <w:pPr>
        <w:pStyle w:val="24"/>
        <w:numPr>
          <w:ilvl w:val="1"/>
          <w:numId w:val="13"/>
        </w:numPr>
        <w:autoSpaceDE w:val="0"/>
        <w:autoSpaceDN w:val="0"/>
        <w:adjustRightInd w:val="0"/>
        <w:spacing w:line="360" w:lineRule="auto"/>
      </w:pPr>
      <w:r>
        <w:t>Others (please indicate …………………….</w:t>
      </w:r>
    </w:p>
    <w:p>
      <w:pPr>
        <w:pStyle w:val="24"/>
        <w:autoSpaceDE w:val="0"/>
        <w:autoSpaceDN w:val="0"/>
        <w:adjustRightInd w:val="0"/>
        <w:spacing w:line="360" w:lineRule="auto"/>
        <w:ind w:left="2160"/>
      </w:pPr>
    </w:p>
    <w:p>
      <w:pPr>
        <w:pStyle w:val="24"/>
        <w:numPr>
          <w:ilvl w:val="0"/>
          <w:numId w:val="13"/>
        </w:numPr>
        <w:autoSpaceDE w:val="0"/>
        <w:autoSpaceDN w:val="0"/>
        <w:adjustRightInd w:val="0"/>
        <w:spacing w:line="360" w:lineRule="auto"/>
        <w:ind w:left="360"/>
      </w:pPr>
      <w:r>
        <w:t>Working experience in years………………….</w:t>
      </w:r>
    </w:p>
    <w:p>
      <w:pPr>
        <w:pStyle w:val="24"/>
        <w:autoSpaceDE w:val="0"/>
        <w:autoSpaceDN w:val="0"/>
        <w:adjustRightInd w:val="0"/>
        <w:spacing w:line="360" w:lineRule="auto"/>
        <w:ind w:left="360"/>
      </w:pPr>
    </w:p>
    <w:p>
      <w:pPr>
        <w:pStyle w:val="24"/>
        <w:numPr>
          <w:ilvl w:val="0"/>
          <w:numId w:val="13"/>
        </w:numPr>
        <w:autoSpaceDE w:val="0"/>
        <w:autoSpaceDN w:val="0"/>
        <w:adjustRightInd w:val="0"/>
        <w:spacing w:line="360" w:lineRule="auto"/>
        <w:ind w:left="360"/>
      </w:pPr>
      <w:r>
        <w:t>Working experience on the surgical ward: ……………………</w:t>
      </w:r>
    </w:p>
    <w:p>
      <w:pPr>
        <w:pStyle w:val="24"/>
        <w:numPr>
          <w:ilvl w:val="0"/>
          <w:numId w:val="13"/>
        </w:numPr>
        <w:autoSpaceDE w:val="0"/>
        <w:autoSpaceDN w:val="0"/>
        <w:adjustRightInd w:val="0"/>
        <w:spacing w:line="360" w:lineRule="auto"/>
        <w:ind w:left="360"/>
      </w:pPr>
      <w:r>
        <w:t xml:space="preserve">Orientation to pain management: </w:t>
      </w:r>
    </w:p>
    <w:p>
      <w:pPr>
        <w:pStyle w:val="24"/>
        <w:numPr>
          <w:ilvl w:val="0"/>
          <w:numId w:val="14"/>
        </w:numPr>
        <w:autoSpaceDE w:val="0"/>
        <w:autoSpaceDN w:val="0"/>
        <w:adjustRightInd w:val="0"/>
        <w:spacing w:line="360" w:lineRule="auto"/>
        <w:ind w:left="1080"/>
      </w:pPr>
      <w:r>
        <w:t>CPD</w:t>
      </w:r>
    </w:p>
    <w:p>
      <w:pPr>
        <w:pStyle w:val="24"/>
        <w:numPr>
          <w:ilvl w:val="0"/>
          <w:numId w:val="14"/>
        </w:numPr>
        <w:autoSpaceDE w:val="0"/>
        <w:autoSpaceDN w:val="0"/>
        <w:adjustRightInd w:val="0"/>
        <w:spacing w:line="360" w:lineRule="auto"/>
        <w:ind w:left="1080"/>
      </w:pPr>
      <w:r>
        <w:t>CNE</w:t>
      </w:r>
    </w:p>
    <w:p>
      <w:pPr>
        <w:pStyle w:val="24"/>
        <w:numPr>
          <w:ilvl w:val="0"/>
          <w:numId w:val="14"/>
        </w:numPr>
        <w:autoSpaceDE w:val="0"/>
        <w:autoSpaceDN w:val="0"/>
        <w:adjustRightInd w:val="0"/>
        <w:spacing w:line="360" w:lineRule="auto"/>
        <w:ind w:left="1080"/>
      </w:pPr>
      <w:r>
        <w:t>Others………………………………………….</w:t>
      </w:r>
    </w:p>
    <w:p>
      <w:pPr>
        <w:autoSpaceDE w:val="0"/>
        <w:autoSpaceDN w:val="0"/>
        <w:adjustRightInd w:val="0"/>
        <w:spacing w:line="360" w:lineRule="auto"/>
        <w:rPr>
          <w:rFonts w:ascii="Times New Roman" w:hAnsi="Times New Roman" w:eastAsia="MS Mincho" w:cs="Times New Roman"/>
          <w:b/>
          <w:bCs/>
          <w:sz w:val="24"/>
          <w:szCs w:val="24"/>
        </w:rPr>
      </w:pPr>
    </w:p>
    <w:p>
      <w:pPr>
        <w:autoSpaceDE w:val="0"/>
        <w:autoSpaceDN w:val="0"/>
        <w:adjustRightInd w:val="0"/>
        <w:spacing w:line="360" w:lineRule="auto"/>
        <w:rPr>
          <w:rFonts w:ascii="Times New Roman" w:hAnsi="Times New Roman" w:eastAsia="MS Mincho" w:cs="Times New Roman"/>
          <w:b/>
          <w:bCs/>
          <w:sz w:val="24"/>
          <w:szCs w:val="24"/>
        </w:rPr>
      </w:pPr>
      <w:r>
        <w:rPr>
          <w:rFonts w:ascii="Times New Roman" w:hAnsi="Times New Roman" w:eastAsia="MS Mincho" w:cs="Times New Roman"/>
          <w:b/>
          <w:bCs/>
          <w:sz w:val="24"/>
          <w:szCs w:val="24"/>
        </w:rPr>
        <w:t xml:space="preserve">Part II: Nurse’s Knowledge on post-operative pain assessment </w:t>
      </w:r>
    </w:p>
    <w:p>
      <w:pPr>
        <w:spacing w:line="360" w:lineRule="auto"/>
        <w:rPr>
          <w:rFonts w:ascii="Times New Roman" w:hAnsi="Times New Roman" w:eastAsia="MS Mincho" w:cs="Times New Roman"/>
          <w:b/>
          <w:bCs/>
          <w:sz w:val="24"/>
          <w:szCs w:val="24"/>
        </w:rPr>
      </w:pPr>
      <w:r>
        <w:rPr>
          <w:rFonts w:ascii="Times New Roman" w:hAnsi="Times New Roman" w:eastAsia="MS Mincho" w:cs="Times New Roman"/>
          <w:b/>
          <w:bCs/>
          <w:sz w:val="24"/>
          <w:szCs w:val="24"/>
        </w:rPr>
        <w:t xml:space="preserve">Please tick the correct response </w:t>
      </w:r>
    </w:p>
    <w:tbl>
      <w:tblPr>
        <w:tblStyle w:val="19"/>
        <w:tblW w:w="8896"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0"/>
        <w:gridCol w:w="990"/>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7020" w:type="dxa"/>
          </w:tcPr>
          <w:p>
            <w:pPr>
              <w:autoSpaceDE w:val="0"/>
              <w:autoSpaceDN w:val="0"/>
              <w:adjustRightInd w:val="0"/>
              <w:spacing w:after="0" w:line="360" w:lineRule="auto"/>
              <w:jc w:val="center"/>
              <w:rPr>
                <w:rFonts w:ascii="Times New Roman" w:hAnsi="Times New Roman" w:eastAsia="MS Mincho" w:cs="Times New Roman"/>
                <w:b/>
                <w:sz w:val="20"/>
                <w:szCs w:val="20"/>
              </w:rPr>
            </w:pPr>
            <w:r>
              <w:rPr>
                <w:rFonts w:ascii="Times New Roman" w:hAnsi="Times New Roman" w:eastAsia="MS Mincho" w:cs="Times New Roman"/>
                <w:b/>
                <w:sz w:val="20"/>
                <w:szCs w:val="20"/>
              </w:rPr>
              <w:t>Variable</w:t>
            </w:r>
          </w:p>
        </w:tc>
        <w:tc>
          <w:tcPr>
            <w:tcW w:w="990" w:type="dxa"/>
          </w:tcPr>
          <w:p>
            <w:pPr>
              <w:autoSpaceDE w:val="0"/>
              <w:autoSpaceDN w:val="0"/>
              <w:adjustRightInd w:val="0"/>
              <w:spacing w:after="0" w:line="360" w:lineRule="auto"/>
              <w:jc w:val="center"/>
              <w:rPr>
                <w:rFonts w:ascii="Times New Roman" w:hAnsi="Times New Roman" w:eastAsia="MS Mincho" w:cs="Times New Roman"/>
                <w:b/>
                <w:sz w:val="20"/>
                <w:szCs w:val="20"/>
              </w:rPr>
            </w:pPr>
            <w:r>
              <w:rPr>
                <w:rFonts w:ascii="Times New Roman" w:hAnsi="Times New Roman" w:eastAsia="MS Mincho" w:cs="Times New Roman"/>
                <w:b/>
                <w:sz w:val="20"/>
                <w:szCs w:val="20"/>
              </w:rPr>
              <w:t>Yes (2)</w:t>
            </w:r>
          </w:p>
        </w:tc>
        <w:tc>
          <w:tcPr>
            <w:tcW w:w="886" w:type="dxa"/>
          </w:tcPr>
          <w:p>
            <w:pPr>
              <w:autoSpaceDE w:val="0"/>
              <w:autoSpaceDN w:val="0"/>
              <w:adjustRightInd w:val="0"/>
              <w:spacing w:after="0" w:line="360" w:lineRule="auto"/>
              <w:jc w:val="center"/>
              <w:rPr>
                <w:rFonts w:ascii="Times New Roman" w:hAnsi="Times New Roman" w:eastAsia="MS Mincho" w:cs="Times New Roman"/>
                <w:b/>
                <w:sz w:val="20"/>
                <w:szCs w:val="20"/>
              </w:rPr>
            </w:pPr>
            <w:r>
              <w:rPr>
                <w:rFonts w:ascii="Times New Roman" w:hAnsi="Times New Roman" w:eastAsia="MS Mincho" w:cs="Times New Roman"/>
                <w:b/>
                <w:sz w:val="20"/>
                <w:szCs w:val="20"/>
              </w:rPr>
              <w:t>No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7020" w:type="dxa"/>
          </w:tcPr>
          <w:p>
            <w:pPr>
              <w:pStyle w:val="24"/>
              <w:numPr>
                <w:ilvl w:val="0"/>
                <w:numId w:val="15"/>
              </w:numPr>
              <w:autoSpaceDE w:val="0"/>
              <w:autoSpaceDN w:val="0"/>
              <w:adjustRightInd w:val="0"/>
              <w:spacing w:line="360" w:lineRule="auto"/>
              <w:rPr>
                <w:sz w:val="20"/>
                <w:szCs w:val="20"/>
              </w:rPr>
            </w:pPr>
            <w:r>
              <w:rPr>
                <w:sz w:val="20"/>
                <w:szCs w:val="20"/>
                <w:shd w:val="clear" w:color="auto" w:fill="FFFFFF"/>
              </w:rPr>
              <w:t>Pain should be assessed before and after administering pain drugs.</w:t>
            </w:r>
            <w:r>
              <w:rPr>
                <w:sz w:val="20"/>
                <w:szCs w:val="20"/>
              </w:rPr>
              <w:t xml:space="preserve"> </w:t>
            </w:r>
          </w:p>
        </w:tc>
        <w:tc>
          <w:tcPr>
            <w:tcW w:w="990" w:type="dxa"/>
          </w:tcPr>
          <w:p>
            <w:pPr>
              <w:autoSpaceDE w:val="0"/>
              <w:autoSpaceDN w:val="0"/>
              <w:adjustRightInd w:val="0"/>
              <w:spacing w:after="0" w:line="360" w:lineRule="auto"/>
              <w:rPr>
                <w:rFonts w:ascii="Times New Roman" w:hAnsi="Times New Roman" w:cs="Times New Roman"/>
                <w:sz w:val="20"/>
                <w:szCs w:val="20"/>
                <w:shd w:val="clear" w:color="auto" w:fill="FFFFFF"/>
              </w:rPr>
            </w:pPr>
          </w:p>
        </w:tc>
        <w:tc>
          <w:tcPr>
            <w:tcW w:w="886" w:type="dxa"/>
          </w:tcPr>
          <w:p>
            <w:pPr>
              <w:autoSpaceDE w:val="0"/>
              <w:autoSpaceDN w:val="0"/>
              <w:adjustRightInd w:val="0"/>
              <w:spacing w:after="0" w:line="360" w:lineRule="auto"/>
              <w:rPr>
                <w:rFonts w:ascii="Times New Roman" w:hAnsi="Times New Roman" w:cs="Times New Roman"/>
                <w:sz w:val="20"/>
                <w:szCs w:val="2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020" w:type="dxa"/>
          </w:tcPr>
          <w:p>
            <w:pPr>
              <w:pStyle w:val="24"/>
              <w:numPr>
                <w:ilvl w:val="0"/>
                <w:numId w:val="15"/>
              </w:numPr>
              <w:autoSpaceDE w:val="0"/>
              <w:autoSpaceDN w:val="0"/>
              <w:adjustRightInd w:val="0"/>
              <w:spacing w:line="360" w:lineRule="auto"/>
              <w:rPr>
                <w:sz w:val="20"/>
                <w:szCs w:val="20"/>
              </w:rPr>
            </w:pPr>
            <w:r>
              <w:rPr>
                <w:sz w:val="20"/>
                <w:szCs w:val="20"/>
                <w:shd w:val="clear" w:color="auto" w:fill="FFFFFF"/>
              </w:rPr>
              <w:t xml:space="preserve">Vital signs are always reliable indicators of the intensity of a patient’s pain </w:t>
            </w:r>
          </w:p>
        </w:tc>
        <w:tc>
          <w:tcPr>
            <w:tcW w:w="990" w:type="dxa"/>
          </w:tcPr>
          <w:p>
            <w:pPr>
              <w:autoSpaceDE w:val="0"/>
              <w:autoSpaceDN w:val="0"/>
              <w:adjustRightInd w:val="0"/>
              <w:spacing w:after="0" w:line="360" w:lineRule="auto"/>
              <w:rPr>
                <w:rFonts w:ascii="Times New Roman" w:hAnsi="Times New Roman" w:cs="Times New Roman"/>
                <w:sz w:val="20"/>
                <w:szCs w:val="20"/>
                <w:shd w:val="clear" w:color="auto" w:fill="FFFFFF"/>
              </w:rPr>
            </w:pPr>
          </w:p>
        </w:tc>
        <w:tc>
          <w:tcPr>
            <w:tcW w:w="886" w:type="dxa"/>
          </w:tcPr>
          <w:p>
            <w:pPr>
              <w:autoSpaceDE w:val="0"/>
              <w:autoSpaceDN w:val="0"/>
              <w:adjustRightInd w:val="0"/>
              <w:spacing w:after="0" w:line="360" w:lineRule="auto"/>
              <w:rPr>
                <w:rFonts w:ascii="Times New Roman" w:hAnsi="Times New Roman" w:cs="Times New Roman"/>
                <w:sz w:val="20"/>
                <w:szCs w:val="2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020" w:type="dxa"/>
          </w:tcPr>
          <w:p>
            <w:pPr>
              <w:pStyle w:val="24"/>
              <w:numPr>
                <w:ilvl w:val="0"/>
                <w:numId w:val="15"/>
              </w:numPr>
              <w:autoSpaceDE w:val="0"/>
              <w:autoSpaceDN w:val="0"/>
              <w:adjustRightInd w:val="0"/>
              <w:spacing w:line="360" w:lineRule="auto"/>
              <w:rPr>
                <w:sz w:val="20"/>
                <w:szCs w:val="20"/>
              </w:rPr>
            </w:pPr>
            <w:r>
              <w:rPr>
                <w:sz w:val="20"/>
                <w:szCs w:val="20"/>
                <w:shd w:val="clear" w:color="auto" w:fill="FFFFFF"/>
              </w:rPr>
              <w:t xml:space="preserve">Patients who can be distracted from pain usually do not have severe pain </w:t>
            </w:r>
            <w:r>
              <w:rPr>
                <w:sz w:val="20"/>
                <w:szCs w:val="20"/>
              </w:rPr>
              <w:t xml:space="preserve"> </w:t>
            </w:r>
          </w:p>
        </w:tc>
        <w:tc>
          <w:tcPr>
            <w:tcW w:w="990" w:type="dxa"/>
          </w:tcPr>
          <w:p>
            <w:pPr>
              <w:autoSpaceDE w:val="0"/>
              <w:autoSpaceDN w:val="0"/>
              <w:adjustRightInd w:val="0"/>
              <w:spacing w:after="0" w:line="360" w:lineRule="auto"/>
              <w:rPr>
                <w:rFonts w:ascii="Times New Roman" w:hAnsi="Times New Roman" w:cs="Times New Roman"/>
                <w:sz w:val="20"/>
                <w:szCs w:val="20"/>
                <w:shd w:val="clear" w:color="auto" w:fill="FFFFFF"/>
              </w:rPr>
            </w:pPr>
          </w:p>
        </w:tc>
        <w:tc>
          <w:tcPr>
            <w:tcW w:w="886" w:type="dxa"/>
          </w:tcPr>
          <w:p>
            <w:pPr>
              <w:autoSpaceDE w:val="0"/>
              <w:autoSpaceDN w:val="0"/>
              <w:adjustRightInd w:val="0"/>
              <w:spacing w:after="0" w:line="360" w:lineRule="auto"/>
              <w:rPr>
                <w:rFonts w:ascii="Times New Roman" w:hAnsi="Times New Roman" w:cs="Times New Roman"/>
                <w:sz w:val="20"/>
                <w:szCs w:val="2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20" w:type="dxa"/>
          </w:tcPr>
          <w:p>
            <w:pPr>
              <w:pStyle w:val="24"/>
              <w:numPr>
                <w:ilvl w:val="0"/>
                <w:numId w:val="15"/>
              </w:numPr>
              <w:autoSpaceDE w:val="0"/>
              <w:autoSpaceDN w:val="0"/>
              <w:adjustRightInd w:val="0"/>
              <w:spacing w:line="360" w:lineRule="auto"/>
              <w:rPr>
                <w:sz w:val="20"/>
                <w:szCs w:val="20"/>
              </w:rPr>
            </w:pPr>
            <w:r>
              <w:rPr>
                <w:sz w:val="20"/>
                <w:szCs w:val="20"/>
              </w:rPr>
              <w:t xml:space="preserve">On a scale of 0-10, seven is unmanageable  </w:t>
            </w:r>
          </w:p>
        </w:tc>
        <w:tc>
          <w:tcPr>
            <w:tcW w:w="990" w:type="dxa"/>
          </w:tcPr>
          <w:p>
            <w:pPr>
              <w:autoSpaceDE w:val="0"/>
              <w:autoSpaceDN w:val="0"/>
              <w:adjustRightInd w:val="0"/>
              <w:spacing w:after="0" w:line="360" w:lineRule="auto"/>
              <w:rPr>
                <w:rFonts w:ascii="Times New Roman" w:hAnsi="Times New Roman" w:eastAsia="MS Mincho" w:cs="Times New Roman"/>
                <w:sz w:val="20"/>
                <w:szCs w:val="20"/>
                <w:lang w:eastAsia="ja-JP"/>
              </w:rPr>
            </w:pPr>
          </w:p>
        </w:tc>
        <w:tc>
          <w:tcPr>
            <w:tcW w:w="886" w:type="dxa"/>
          </w:tcPr>
          <w:p>
            <w:pPr>
              <w:autoSpaceDE w:val="0"/>
              <w:autoSpaceDN w:val="0"/>
              <w:adjustRightInd w:val="0"/>
              <w:spacing w:after="0" w:line="360" w:lineRule="auto"/>
              <w:rPr>
                <w:rFonts w:ascii="Times New Roman" w:hAnsi="Times New Roman" w:eastAsia="MS Mincho" w:cs="Times New Roman"/>
                <w:sz w:val="20"/>
                <w:szCs w:val="20"/>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7020" w:type="dxa"/>
          </w:tcPr>
          <w:p>
            <w:pPr>
              <w:pStyle w:val="24"/>
              <w:numPr>
                <w:ilvl w:val="0"/>
                <w:numId w:val="15"/>
              </w:numPr>
              <w:autoSpaceDE w:val="0"/>
              <w:autoSpaceDN w:val="0"/>
              <w:adjustRightInd w:val="0"/>
              <w:spacing w:line="360" w:lineRule="auto"/>
              <w:rPr>
                <w:sz w:val="20"/>
                <w:szCs w:val="20"/>
              </w:rPr>
            </w:pPr>
            <w:r>
              <w:rPr>
                <w:sz w:val="20"/>
                <w:szCs w:val="20"/>
                <w:shd w:val="clear" w:color="auto" w:fill="FFFFFF"/>
              </w:rPr>
              <w:t>After an initial dose of opioid analgesic is given, subsequent doses should be adjusted in accordance with individual patient’s response</w:t>
            </w:r>
          </w:p>
        </w:tc>
        <w:tc>
          <w:tcPr>
            <w:tcW w:w="990" w:type="dxa"/>
          </w:tcPr>
          <w:p>
            <w:pPr>
              <w:autoSpaceDE w:val="0"/>
              <w:autoSpaceDN w:val="0"/>
              <w:adjustRightInd w:val="0"/>
              <w:spacing w:after="0" w:line="360" w:lineRule="auto"/>
              <w:rPr>
                <w:rFonts w:ascii="Times New Roman" w:hAnsi="Times New Roman" w:cs="Times New Roman"/>
                <w:b/>
                <w:bCs/>
                <w:sz w:val="20"/>
                <w:szCs w:val="20"/>
                <w:shd w:val="clear" w:color="auto" w:fill="FFFFFF"/>
              </w:rPr>
            </w:pPr>
          </w:p>
        </w:tc>
        <w:tc>
          <w:tcPr>
            <w:tcW w:w="886" w:type="dxa"/>
          </w:tcPr>
          <w:p>
            <w:pPr>
              <w:autoSpaceDE w:val="0"/>
              <w:autoSpaceDN w:val="0"/>
              <w:adjustRightInd w:val="0"/>
              <w:spacing w:after="0" w:line="360" w:lineRule="auto"/>
              <w:rPr>
                <w:rFonts w:ascii="Times New Roman" w:hAnsi="Times New Roman" w:cs="Times New Roman"/>
                <w:b/>
                <w:bCs/>
                <w:sz w:val="20"/>
                <w:szCs w:val="2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20" w:type="dxa"/>
          </w:tcPr>
          <w:p>
            <w:pPr>
              <w:pStyle w:val="24"/>
              <w:numPr>
                <w:ilvl w:val="0"/>
                <w:numId w:val="15"/>
              </w:numPr>
              <w:autoSpaceDE w:val="0"/>
              <w:autoSpaceDN w:val="0"/>
              <w:adjustRightInd w:val="0"/>
              <w:spacing w:line="360" w:lineRule="auto"/>
              <w:rPr>
                <w:sz w:val="20"/>
                <w:szCs w:val="20"/>
              </w:rPr>
            </w:pPr>
            <w:r>
              <w:rPr>
                <w:sz w:val="20"/>
                <w:szCs w:val="20"/>
              </w:rPr>
              <w:t xml:space="preserve">Physical assessment is part of pain management.                                    </w:t>
            </w:r>
          </w:p>
        </w:tc>
        <w:tc>
          <w:tcPr>
            <w:tcW w:w="990" w:type="dxa"/>
          </w:tcPr>
          <w:p>
            <w:pPr>
              <w:autoSpaceDE w:val="0"/>
              <w:autoSpaceDN w:val="0"/>
              <w:adjustRightInd w:val="0"/>
              <w:spacing w:after="0" w:line="360" w:lineRule="auto"/>
              <w:rPr>
                <w:rFonts w:ascii="Times New Roman" w:hAnsi="Times New Roman" w:eastAsia="MS Mincho" w:cs="Times New Roman"/>
                <w:sz w:val="20"/>
                <w:szCs w:val="20"/>
                <w:lang w:eastAsia="ja-JP"/>
              </w:rPr>
            </w:pPr>
          </w:p>
        </w:tc>
        <w:tc>
          <w:tcPr>
            <w:tcW w:w="886" w:type="dxa"/>
          </w:tcPr>
          <w:p>
            <w:pPr>
              <w:autoSpaceDE w:val="0"/>
              <w:autoSpaceDN w:val="0"/>
              <w:adjustRightInd w:val="0"/>
              <w:spacing w:after="0" w:line="360" w:lineRule="auto"/>
              <w:rPr>
                <w:rFonts w:ascii="Times New Roman" w:hAnsi="Times New Roman" w:eastAsia="MS Mincho" w:cs="Times New Roman"/>
                <w:sz w:val="20"/>
                <w:szCs w:val="20"/>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020" w:type="dxa"/>
          </w:tcPr>
          <w:p>
            <w:pPr>
              <w:pStyle w:val="24"/>
              <w:numPr>
                <w:ilvl w:val="0"/>
                <w:numId w:val="15"/>
              </w:numPr>
              <w:spacing w:line="360" w:lineRule="auto"/>
              <w:rPr>
                <w:rFonts w:eastAsia="Times New Roman"/>
                <w:color w:val="000000"/>
                <w:sz w:val="20"/>
                <w:szCs w:val="20"/>
              </w:rPr>
            </w:pPr>
            <w:r>
              <w:rPr>
                <w:rFonts w:eastAsia="Times New Roman"/>
                <w:color w:val="000000"/>
                <w:sz w:val="20"/>
                <w:szCs w:val="20"/>
              </w:rPr>
              <w:t xml:space="preserve">The most accurate judge of the intensity of the patient’s pain is the primary nurse </w:t>
            </w:r>
          </w:p>
        </w:tc>
        <w:tc>
          <w:tcPr>
            <w:tcW w:w="990" w:type="dxa"/>
          </w:tcPr>
          <w:p>
            <w:pPr>
              <w:spacing w:after="0" w:line="360" w:lineRule="auto"/>
              <w:rPr>
                <w:rFonts w:ascii="Times New Roman" w:hAnsi="Times New Roman" w:eastAsia="Times New Roman" w:cs="Times New Roman"/>
                <w:color w:val="000000"/>
                <w:sz w:val="20"/>
                <w:szCs w:val="20"/>
              </w:rPr>
            </w:pPr>
          </w:p>
        </w:tc>
        <w:tc>
          <w:tcPr>
            <w:tcW w:w="886" w:type="dxa"/>
          </w:tcPr>
          <w:p>
            <w:pPr>
              <w:spacing w:after="0" w:line="360" w:lineRule="auto"/>
              <w:rPr>
                <w:rFonts w:ascii="Times New Roman" w:hAnsi="Times New Roman" w:eastAsia="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7020" w:type="dxa"/>
          </w:tcPr>
          <w:p>
            <w:pPr>
              <w:pStyle w:val="24"/>
              <w:numPr>
                <w:ilvl w:val="0"/>
                <w:numId w:val="15"/>
              </w:numPr>
              <w:shd w:val="clear" w:color="auto" w:fill="FFFFFF"/>
              <w:spacing w:after="150" w:line="360" w:lineRule="auto"/>
              <w:outlineLvl w:val="2"/>
              <w:rPr>
                <w:sz w:val="20"/>
                <w:szCs w:val="20"/>
              </w:rPr>
            </w:pPr>
            <w:bookmarkStart w:id="258" w:name="_Toc120852278"/>
            <w:bookmarkStart w:id="259" w:name="_Toc142753440"/>
            <w:bookmarkStart w:id="260" w:name="_Toc134604198"/>
            <w:r>
              <w:rPr>
                <w:sz w:val="20"/>
                <w:szCs w:val="20"/>
              </w:rPr>
              <w:t>Is the character, onset, location, and duration of pain important in pain assessment?</w:t>
            </w:r>
            <w:bookmarkEnd w:id="258"/>
            <w:bookmarkEnd w:id="259"/>
            <w:bookmarkEnd w:id="260"/>
            <w:r>
              <w:rPr>
                <w:sz w:val="20"/>
                <w:szCs w:val="20"/>
              </w:rPr>
              <w:t xml:space="preserve"> </w:t>
            </w:r>
          </w:p>
        </w:tc>
        <w:tc>
          <w:tcPr>
            <w:tcW w:w="990" w:type="dxa"/>
          </w:tcPr>
          <w:p>
            <w:pPr>
              <w:shd w:val="clear" w:color="auto" w:fill="FFFFFF"/>
              <w:spacing w:after="150" w:line="360" w:lineRule="auto"/>
              <w:outlineLvl w:val="2"/>
              <w:rPr>
                <w:rFonts w:ascii="Times New Roman" w:hAnsi="Times New Roman" w:eastAsia="Times New Roman" w:cs="Times New Roman"/>
                <w:sz w:val="20"/>
                <w:szCs w:val="20"/>
              </w:rPr>
            </w:pPr>
          </w:p>
        </w:tc>
        <w:tc>
          <w:tcPr>
            <w:tcW w:w="886" w:type="dxa"/>
          </w:tcPr>
          <w:p>
            <w:pPr>
              <w:shd w:val="clear" w:color="auto" w:fill="FFFFFF"/>
              <w:spacing w:after="150" w:line="360" w:lineRule="auto"/>
              <w:outlineLvl w:val="2"/>
              <w:rPr>
                <w:rFonts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20" w:type="dxa"/>
          </w:tcPr>
          <w:p>
            <w:pPr>
              <w:pStyle w:val="24"/>
              <w:numPr>
                <w:ilvl w:val="0"/>
                <w:numId w:val="15"/>
              </w:numPr>
              <w:autoSpaceDE w:val="0"/>
              <w:autoSpaceDN w:val="0"/>
              <w:adjustRightInd w:val="0"/>
              <w:spacing w:line="360" w:lineRule="auto"/>
              <w:rPr>
                <w:sz w:val="20"/>
                <w:szCs w:val="20"/>
              </w:rPr>
            </w:pPr>
            <w:r>
              <w:rPr>
                <w:sz w:val="20"/>
                <w:szCs w:val="20"/>
                <w:shd w:val="clear" w:color="auto" w:fill="FFFFFF"/>
              </w:rPr>
              <w:t>Observation is part of the method used in surgical pain assessment.</w:t>
            </w:r>
            <w:r>
              <w:rPr>
                <w:sz w:val="20"/>
                <w:szCs w:val="20"/>
              </w:rPr>
              <w:t xml:space="preserve"> </w:t>
            </w:r>
          </w:p>
        </w:tc>
        <w:tc>
          <w:tcPr>
            <w:tcW w:w="990" w:type="dxa"/>
          </w:tcPr>
          <w:p>
            <w:pPr>
              <w:autoSpaceDE w:val="0"/>
              <w:autoSpaceDN w:val="0"/>
              <w:adjustRightInd w:val="0"/>
              <w:spacing w:after="0" w:line="360" w:lineRule="auto"/>
              <w:rPr>
                <w:rFonts w:ascii="Times New Roman" w:hAnsi="Times New Roman" w:cs="Times New Roman"/>
                <w:sz w:val="20"/>
                <w:szCs w:val="20"/>
                <w:shd w:val="clear" w:color="auto" w:fill="FFFFFF"/>
              </w:rPr>
            </w:pPr>
          </w:p>
        </w:tc>
        <w:tc>
          <w:tcPr>
            <w:tcW w:w="886" w:type="dxa"/>
          </w:tcPr>
          <w:p>
            <w:pPr>
              <w:autoSpaceDE w:val="0"/>
              <w:autoSpaceDN w:val="0"/>
              <w:adjustRightInd w:val="0"/>
              <w:spacing w:after="0" w:line="360" w:lineRule="auto"/>
              <w:rPr>
                <w:rFonts w:ascii="Times New Roman" w:hAnsi="Times New Roman" w:cs="Times New Roman"/>
                <w:sz w:val="20"/>
                <w:szCs w:val="2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020" w:type="dxa"/>
          </w:tcPr>
          <w:p>
            <w:pPr>
              <w:pStyle w:val="24"/>
              <w:numPr>
                <w:ilvl w:val="0"/>
                <w:numId w:val="15"/>
              </w:numPr>
              <w:shd w:val="clear" w:color="auto" w:fill="FFFFFF"/>
              <w:spacing w:after="150" w:line="360" w:lineRule="auto"/>
              <w:outlineLvl w:val="2"/>
              <w:rPr>
                <w:sz w:val="20"/>
                <w:szCs w:val="20"/>
                <w:shd w:val="clear" w:color="auto" w:fill="FFFFFF"/>
              </w:rPr>
            </w:pPr>
            <w:bookmarkStart w:id="261" w:name="_Toc120852279"/>
            <w:bookmarkStart w:id="262" w:name="_Toc142753441"/>
            <w:bookmarkStart w:id="263" w:name="_Toc134604199"/>
            <w:r>
              <w:rPr>
                <w:sz w:val="20"/>
                <w:szCs w:val="20"/>
              </w:rPr>
              <w:t>On a scale of 0-10, six denote severe pain</w:t>
            </w:r>
            <w:bookmarkEnd w:id="261"/>
            <w:bookmarkEnd w:id="262"/>
            <w:bookmarkEnd w:id="263"/>
          </w:p>
        </w:tc>
        <w:tc>
          <w:tcPr>
            <w:tcW w:w="990" w:type="dxa"/>
          </w:tcPr>
          <w:p>
            <w:pPr>
              <w:shd w:val="clear" w:color="auto" w:fill="FFFFFF"/>
              <w:spacing w:after="150" w:line="360" w:lineRule="auto"/>
              <w:outlineLvl w:val="2"/>
              <w:rPr>
                <w:rFonts w:ascii="Times New Roman" w:hAnsi="Times New Roman" w:cs="Times New Roman"/>
                <w:sz w:val="20"/>
                <w:szCs w:val="20"/>
                <w:shd w:val="clear" w:color="auto" w:fill="FFFFFF"/>
              </w:rPr>
            </w:pPr>
          </w:p>
        </w:tc>
        <w:tc>
          <w:tcPr>
            <w:tcW w:w="886" w:type="dxa"/>
          </w:tcPr>
          <w:p>
            <w:pPr>
              <w:shd w:val="clear" w:color="auto" w:fill="FFFFFF"/>
              <w:spacing w:after="150" w:line="360" w:lineRule="auto"/>
              <w:outlineLvl w:val="2"/>
              <w:rPr>
                <w:rFonts w:ascii="Times New Roman" w:hAnsi="Times New Roman" w:cs="Times New Roman"/>
                <w:sz w:val="20"/>
                <w:szCs w:val="2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7020" w:type="dxa"/>
          </w:tcPr>
          <w:p>
            <w:pPr>
              <w:pStyle w:val="24"/>
              <w:numPr>
                <w:ilvl w:val="0"/>
                <w:numId w:val="15"/>
              </w:numPr>
              <w:shd w:val="clear" w:color="auto" w:fill="FFFFFF"/>
              <w:spacing w:after="150" w:line="360" w:lineRule="auto"/>
              <w:outlineLvl w:val="2"/>
              <w:rPr>
                <w:rFonts w:eastAsia="Times New Roman"/>
                <w:color w:val="555555"/>
                <w:sz w:val="20"/>
                <w:szCs w:val="20"/>
              </w:rPr>
            </w:pPr>
            <w:bookmarkStart w:id="264" w:name="_Toc142753442"/>
            <w:bookmarkStart w:id="265" w:name="_Toc120852280"/>
            <w:bookmarkStart w:id="266" w:name="_Toc134604200"/>
            <w:r>
              <w:rPr>
                <w:sz w:val="20"/>
                <w:szCs w:val="20"/>
                <w:shd w:val="clear" w:color="auto" w:fill="FFFFFF"/>
              </w:rPr>
              <w:t>Patients should be individually assessed to determine cultural influences on pain expression</w:t>
            </w:r>
            <w:bookmarkEnd w:id="264"/>
            <w:bookmarkEnd w:id="265"/>
            <w:bookmarkEnd w:id="266"/>
            <w:r>
              <w:rPr>
                <w:sz w:val="20"/>
                <w:szCs w:val="20"/>
                <w:shd w:val="clear" w:color="auto" w:fill="FFFFFF"/>
              </w:rPr>
              <w:t xml:space="preserve"> </w:t>
            </w:r>
          </w:p>
        </w:tc>
        <w:tc>
          <w:tcPr>
            <w:tcW w:w="990" w:type="dxa"/>
          </w:tcPr>
          <w:p>
            <w:pPr>
              <w:shd w:val="clear" w:color="auto" w:fill="FFFFFF"/>
              <w:spacing w:after="150" w:line="360" w:lineRule="auto"/>
              <w:outlineLvl w:val="2"/>
              <w:rPr>
                <w:rFonts w:ascii="Times New Roman" w:hAnsi="Times New Roman" w:cs="Times New Roman"/>
                <w:sz w:val="20"/>
                <w:szCs w:val="20"/>
                <w:shd w:val="clear" w:color="auto" w:fill="FFFFFF"/>
              </w:rPr>
            </w:pPr>
          </w:p>
        </w:tc>
        <w:tc>
          <w:tcPr>
            <w:tcW w:w="886" w:type="dxa"/>
          </w:tcPr>
          <w:p>
            <w:pPr>
              <w:shd w:val="clear" w:color="auto" w:fill="FFFFFF"/>
              <w:spacing w:after="150" w:line="360" w:lineRule="auto"/>
              <w:outlineLvl w:val="2"/>
              <w:rPr>
                <w:rFonts w:ascii="Times New Roman" w:hAnsi="Times New Roman" w:cs="Times New Roman"/>
                <w:sz w:val="20"/>
                <w:szCs w:val="2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020" w:type="dxa"/>
          </w:tcPr>
          <w:p>
            <w:pPr>
              <w:pStyle w:val="24"/>
              <w:numPr>
                <w:ilvl w:val="0"/>
                <w:numId w:val="15"/>
              </w:numPr>
              <w:spacing w:line="360" w:lineRule="auto"/>
              <w:rPr>
                <w:rFonts w:eastAsia="Times New Roman"/>
                <w:color w:val="000000"/>
                <w:sz w:val="20"/>
                <w:szCs w:val="20"/>
              </w:rPr>
            </w:pPr>
            <w:r>
              <w:rPr>
                <w:rFonts w:eastAsia="Times New Roman"/>
                <w:color w:val="000000"/>
                <w:sz w:val="20"/>
                <w:szCs w:val="20"/>
              </w:rPr>
              <w:t>If a patient sleeps with no movement postoperatively, this indicates that the patient is not in pain.</w:t>
            </w:r>
            <w:r>
              <w:rPr>
                <w:sz w:val="20"/>
                <w:szCs w:val="20"/>
              </w:rPr>
              <w:t xml:space="preserve"> </w:t>
            </w:r>
          </w:p>
        </w:tc>
        <w:tc>
          <w:tcPr>
            <w:tcW w:w="990" w:type="dxa"/>
          </w:tcPr>
          <w:p>
            <w:pPr>
              <w:spacing w:after="0" w:line="360" w:lineRule="auto"/>
              <w:rPr>
                <w:rFonts w:ascii="Times New Roman" w:hAnsi="Times New Roman" w:eastAsia="Times New Roman" w:cs="Times New Roman"/>
                <w:color w:val="000000"/>
                <w:sz w:val="20"/>
                <w:szCs w:val="20"/>
              </w:rPr>
            </w:pPr>
          </w:p>
        </w:tc>
        <w:tc>
          <w:tcPr>
            <w:tcW w:w="886" w:type="dxa"/>
          </w:tcPr>
          <w:p>
            <w:pPr>
              <w:spacing w:after="0" w:line="360" w:lineRule="auto"/>
              <w:rPr>
                <w:rFonts w:ascii="Times New Roman" w:hAnsi="Times New Roman" w:eastAsia="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20" w:type="dxa"/>
          </w:tcPr>
          <w:p>
            <w:pPr>
              <w:pStyle w:val="24"/>
              <w:numPr>
                <w:ilvl w:val="0"/>
                <w:numId w:val="15"/>
              </w:numPr>
              <w:autoSpaceDE w:val="0"/>
              <w:autoSpaceDN w:val="0"/>
              <w:adjustRightInd w:val="0"/>
              <w:spacing w:line="360" w:lineRule="auto"/>
              <w:rPr>
                <w:color w:val="202124"/>
                <w:sz w:val="20"/>
                <w:szCs w:val="20"/>
                <w:shd w:val="clear" w:color="auto" w:fill="FFFFFF"/>
              </w:rPr>
            </w:pPr>
            <w:r>
              <w:rPr>
                <w:color w:val="202124"/>
                <w:sz w:val="20"/>
                <w:szCs w:val="20"/>
                <w:shd w:val="clear" w:color="auto" w:fill="FFFFFF"/>
              </w:rPr>
              <w:t xml:space="preserve">Does 0-2 on the NRS (0-10) denote no pain at all? </w:t>
            </w:r>
          </w:p>
        </w:tc>
        <w:tc>
          <w:tcPr>
            <w:tcW w:w="990" w:type="dxa"/>
          </w:tcPr>
          <w:p>
            <w:pPr>
              <w:autoSpaceDE w:val="0"/>
              <w:autoSpaceDN w:val="0"/>
              <w:adjustRightInd w:val="0"/>
              <w:spacing w:after="0" w:line="360" w:lineRule="auto"/>
              <w:rPr>
                <w:rFonts w:ascii="Times New Roman" w:hAnsi="Times New Roman" w:cs="Times New Roman"/>
                <w:color w:val="202124"/>
                <w:sz w:val="20"/>
                <w:szCs w:val="20"/>
                <w:shd w:val="clear" w:color="auto" w:fill="FFFFFF"/>
              </w:rPr>
            </w:pPr>
          </w:p>
        </w:tc>
        <w:tc>
          <w:tcPr>
            <w:tcW w:w="886" w:type="dxa"/>
          </w:tcPr>
          <w:p>
            <w:pPr>
              <w:autoSpaceDE w:val="0"/>
              <w:autoSpaceDN w:val="0"/>
              <w:adjustRightInd w:val="0"/>
              <w:spacing w:after="0" w:line="360" w:lineRule="auto"/>
              <w:rPr>
                <w:rFonts w:ascii="Times New Roman" w:hAnsi="Times New Roman" w:cs="Times New Roman"/>
                <w:color w:val="202124"/>
                <w:sz w:val="20"/>
                <w:szCs w:val="2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20" w:type="dxa"/>
          </w:tcPr>
          <w:p>
            <w:pPr>
              <w:pStyle w:val="24"/>
              <w:numPr>
                <w:ilvl w:val="0"/>
                <w:numId w:val="15"/>
              </w:numPr>
              <w:autoSpaceDE w:val="0"/>
              <w:autoSpaceDN w:val="0"/>
              <w:adjustRightInd w:val="0"/>
              <w:spacing w:line="360" w:lineRule="auto"/>
              <w:rPr>
                <w:color w:val="202124"/>
                <w:sz w:val="20"/>
                <w:szCs w:val="20"/>
                <w:shd w:val="clear" w:color="auto" w:fill="FFFFFF"/>
              </w:rPr>
            </w:pPr>
            <w:r>
              <w:rPr>
                <w:color w:val="202124"/>
                <w:sz w:val="20"/>
                <w:szCs w:val="20"/>
                <w:shd w:val="clear" w:color="auto" w:fill="FFFFFF"/>
              </w:rPr>
              <w:t xml:space="preserve">On a scale of 0-10, post-operative patient with 5/10 does not need any analgesic </w:t>
            </w:r>
          </w:p>
        </w:tc>
        <w:tc>
          <w:tcPr>
            <w:tcW w:w="990" w:type="dxa"/>
          </w:tcPr>
          <w:p>
            <w:pPr>
              <w:autoSpaceDE w:val="0"/>
              <w:autoSpaceDN w:val="0"/>
              <w:adjustRightInd w:val="0"/>
              <w:spacing w:after="0" w:line="360" w:lineRule="auto"/>
              <w:rPr>
                <w:rFonts w:ascii="Times New Roman" w:hAnsi="Times New Roman" w:cs="Times New Roman"/>
                <w:color w:val="202124"/>
                <w:sz w:val="20"/>
                <w:szCs w:val="20"/>
                <w:shd w:val="clear" w:color="auto" w:fill="FFFFFF"/>
              </w:rPr>
            </w:pPr>
          </w:p>
        </w:tc>
        <w:tc>
          <w:tcPr>
            <w:tcW w:w="886" w:type="dxa"/>
          </w:tcPr>
          <w:p>
            <w:pPr>
              <w:autoSpaceDE w:val="0"/>
              <w:autoSpaceDN w:val="0"/>
              <w:adjustRightInd w:val="0"/>
              <w:spacing w:after="0" w:line="360" w:lineRule="auto"/>
              <w:rPr>
                <w:rFonts w:ascii="Times New Roman" w:hAnsi="Times New Roman" w:cs="Times New Roman"/>
                <w:color w:val="202124"/>
                <w:sz w:val="20"/>
                <w:szCs w:val="2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20" w:type="dxa"/>
          </w:tcPr>
          <w:p>
            <w:pPr>
              <w:pStyle w:val="24"/>
              <w:numPr>
                <w:ilvl w:val="0"/>
                <w:numId w:val="15"/>
              </w:numPr>
              <w:autoSpaceDE w:val="0"/>
              <w:autoSpaceDN w:val="0"/>
              <w:adjustRightInd w:val="0"/>
              <w:spacing w:line="360" w:lineRule="auto"/>
              <w:rPr>
                <w:color w:val="202124"/>
                <w:sz w:val="20"/>
                <w:szCs w:val="20"/>
                <w:shd w:val="clear" w:color="auto" w:fill="FFFFFF"/>
              </w:rPr>
            </w:pPr>
            <w:r>
              <w:rPr>
                <w:color w:val="202124"/>
                <w:sz w:val="20"/>
                <w:szCs w:val="20"/>
                <w:shd w:val="clear" w:color="auto" w:fill="FFFFFF"/>
              </w:rPr>
              <w:t>Nondrug interventions e.g., music, heat, and touch are very effective for mild to moderate pain control.</w:t>
            </w:r>
          </w:p>
        </w:tc>
        <w:tc>
          <w:tcPr>
            <w:tcW w:w="990" w:type="dxa"/>
          </w:tcPr>
          <w:p>
            <w:pPr>
              <w:autoSpaceDE w:val="0"/>
              <w:autoSpaceDN w:val="0"/>
              <w:adjustRightInd w:val="0"/>
              <w:spacing w:after="0" w:line="360" w:lineRule="auto"/>
              <w:rPr>
                <w:rFonts w:ascii="Times New Roman" w:hAnsi="Times New Roman" w:cs="Times New Roman"/>
                <w:color w:val="202124"/>
                <w:sz w:val="20"/>
                <w:szCs w:val="20"/>
                <w:shd w:val="clear" w:color="auto" w:fill="FFFFFF"/>
              </w:rPr>
            </w:pPr>
          </w:p>
        </w:tc>
        <w:tc>
          <w:tcPr>
            <w:tcW w:w="886" w:type="dxa"/>
          </w:tcPr>
          <w:p>
            <w:pPr>
              <w:autoSpaceDE w:val="0"/>
              <w:autoSpaceDN w:val="0"/>
              <w:adjustRightInd w:val="0"/>
              <w:spacing w:after="0" w:line="360" w:lineRule="auto"/>
              <w:rPr>
                <w:rFonts w:ascii="Times New Roman" w:hAnsi="Times New Roman" w:cs="Times New Roman"/>
                <w:color w:val="202124"/>
                <w:sz w:val="20"/>
                <w:szCs w:val="2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20" w:type="dxa"/>
          </w:tcPr>
          <w:p>
            <w:pPr>
              <w:pStyle w:val="24"/>
              <w:numPr>
                <w:ilvl w:val="0"/>
                <w:numId w:val="15"/>
              </w:numPr>
              <w:autoSpaceDE w:val="0"/>
              <w:autoSpaceDN w:val="0"/>
              <w:adjustRightInd w:val="0"/>
              <w:spacing w:line="360" w:lineRule="auto"/>
              <w:rPr>
                <w:color w:val="202124"/>
                <w:sz w:val="20"/>
                <w:szCs w:val="20"/>
                <w:shd w:val="clear" w:color="auto" w:fill="FFFFFF"/>
              </w:rPr>
            </w:pPr>
            <w:r>
              <w:rPr>
                <w:color w:val="202124"/>
                <w:sz w:val="20"/>
                <w:szCs w:val="20"/>
                <w:shd w:val="clear" w:color="auto" w:fill="FFFFFF"/>
              </w:rPr>
              <w:t xml:space="preserve">On a scale of 0 – 10, three represents mild pain </w:t>
            </w:r>
          </w:p>
        </w:tc>
        <w:tc>
          <w:tcPr>
            <w:tcW w:w="990" w:type="dxa"/>
          </w:tcPr>
          <w:p>
            <w:pPr>
              <w:autoSpaceDE w:val="0"/>
              <w:autoSpaceDN w:val="0"/>
              <w:adjustRightInd w:val="0"/>
              <w:spacing w:after="0" w:line="360" w:lineRule="auto"/>
              <w:rPr>
                <w:rFonts w:ascii="Times New Roman" w:hAnsi="Times New Roman" w:cs="Times New Roman"/>
                <w:color w:val="202124"/>
                <w:sz w:val="20"/>
                <w:szCs w:val="20"/>
                <w:shd w:val="clear" w:color="auto" w:fill="FFFFFF"/>
              </w:rPr>
            </w:pPr>
          </w:p>
        </w:tc>
        <w:tc>
          <w:tcPr>
            <w:tcW w:w="886" w:type="dxa"/>
          </w:tcPr>
          <w:p>
            <w:pPr>
              <w:autoSpaceDE w:val="0"/>
              <w:autoSpaceDN w:val="0"/>
              <w:adjustRightInd w:val="0"/>
              <w:spacing w:after="0" w:line="360" w:lineRule="auto"/>
              <w:rPr>
                <w:rFonts w:ascii="Times New Roman" w:hAnsi="Times New Roman" w:cs="Times New Roman"/>
                <w:color w:val="202124"/>
                <w:sz w:val="20"/>
                <w:szCs w:val="2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020" w:type="dxa"/>
            <w:vMerge w:val="restart"/>
          </w:tcPr>
          <w:p>
            <w:pPr>
              <w:pStyle w:val="24"/>
              <w:numPr>
                <w:ilvl w:val="0"/>
                <w:numId w:val="15"/>
              </w:numPr>
              <w:autoSpaceDE w:val="0"/>
              <w:autoSpaceDN w:val="0"/>
              <w:adjustRightInd w:val="0"/>
              <w:spacing w:line="360" w:lineRule="auto"/>
              <w:rPr>
                <w:color w:val="202124"/>
                <w:sz w:val="20"/>
                <w:szCs w:val="20"/>
                <w:shd w:val="clear" w:color="auto" w:fill="FFFFFF"/>
              </w:rPr>
            </w:pPr>
            <w:r>
              <w:rPr>
                <w:sz w:val="20"/>
                <w:szCs w:val="20"/>
                <w:shd w:val="clear" w:color="auto" w:fill="FFFFFF"/>
              </w:rPr>
              <w:t>Today is Phillip’s 1</w:t>
            </w:r>
            <w:r>
              <w:rPr>
                <w:sz w:val="20"/>
                <w:szCs w:val="20"/>
                <w:shd w:val="clear" w:color="auto" w:fill="FFFFFF"/>
                <w:vertAlign w:val="superscript"/>
              </w:rPr>
              <w:t>st</w:t>
            </w:r>
            <w:r>
              <w:rPr>
                <w:sz w:val="20"/>
                <w:szCs w:val="20"/>
                <w:shd w:val="clear" w:color="auto" w:fill="FFFFFF"/>
              </w:rPr>
              <w:t xml:space="preserve"> post-operative day, and as you enter his room, he smiles at you and continues talking and joking with his visitor. Is his pain intensity 7/10 on the NRS?</w:t>
            </w:r>
          </w:p>
        </w:tc>
        <w:tc>
          <w:tcPr>
            <w:tcW w:w="990" w:type="dxa"/>
          </w:tcPr>
          <w:p>
            <w:pPr>
              <w:autoSpaceDE w:val="0"/>
              <w:autoSpaceDN w:val="0"/>
              <w:adjustRightInd w:val="0"/>
              <w:spacing w:after="0" w:line="360" w:lineRule="auto"/>
              <w:rPr>
                <w:rFonts w:ascii="Times New Roman" w:hAnsi="Times New Roman" w:cs="Times New Roman"/>
                <w:b/>
                <w:bCs/>
                <w:color w:val="202124"/>
                <w:sz w:val="20"/>
                <w:szCs w:val="20"/>
                <w:shd w:val="clear" w:color="auto" w:fill="FFFFFF"/>
              </w:rPr>
            </w:pPr>
          </w:p>
          <w:p>
            <w:pPr>
              <w:autoSpaceDE w:val="0"/>
              <w:autoSpaceDN w:val="0"/>
              <w:adjustRightInd w:val="0"/>
              <w:spacing w:after="0" w:line="360" w:lineRule="auto"/>
              <w:rPr>
                <w:rFonts w:ascii="Times New Roman" w:hAnsi="Times New Roman" w:cs="Times New Roman"/>
                <w:b/>
                <w:bCs/>
                <w:color w:val="202124"/>
                <w:sz w:val="20"/>
                <w:szCs w:val="20"/>
                <w:shd w:val="clear" w:color="auto" w:fill="FFFFFF"/>
              </w:rPr>
            </w:pPr>
          </w:p>
          <w:p>
            <w:pPr>
              <w:autoSpaceDE w:val="0"/>
              <w:autoSpaceDN w:val="0"/>
              <w:adjustRightInd w:val="0"/>
              <w:spacing w:after="0" w:line="360" w:lineRule="auto"/>
              <w:rPr>
                <w:rFonts w:ascii="Times New Roman" w:hAnsi="Times New Roman" w:cs="Times New Roman"/>
                <w:b/>
                <w:bCs/>
                <w:color w:val="202124"/>
                <w:sz w:val="20"/>
                <w:szCs w:val="20"/>
                <w:shd w:val="clear" w:color="auto" w:fill="FFFFFF"/>
              </w:rPr>
            </w:pPr>
            <w:r>
              <w:rPr>
                <w:rFonts w:ascii="Times New Roman" w:hAnsi="Times New Roman" w:cs="Times New Roman"/>
                <w:b/>
                <w:bCs/>
                <w:color w:val="202124"/>
                <w:sz w:val="20"/>
                <w:szCs w:val="20"/>
                <w:shd w:val="clear" w:color="auto" w:fill="FFFFFF"/>
              </w:rPr>
              <w:t>Yes</w:t>
            </w:r>
          </w:p>
        </w:tc>
        <w:tc>
          <w:tcPr>
            <w:tcW w:w="886" w:type="dxa"/>
          </w:tcPr>
          <w:p>
            <w:pPr>
              <w:autoSpaceDE w:val="0"/>
              <w:autoSpaceDN w:val="0"/>
              <w:adjustRightInd w:val="0"/>
              <w:spacing w:after="0" w:line="360" w:lineRule="auto"/>
              <w:rPr>
                <w:rFonts w:ascii="Times New Roman" w:hAnsi="Times New Roman" w:cs="Times New Roman"/>
                <w:b/>
                <w:bCs/>
                <w:color w:val="202124"/>
                <w:sz w:val="20"/>
                <w:szCs w:val="20"/>
                <w:shd w:val="clear" w:color="auto" w:fill="FFFFFF"/>
              </w:rPr>
            </w:pPr>
          </w:p>
          <w:p>
            <w:pPr>
              <w:autoSpaceDE w:val="0"/>
              <w:autoSpaceDN w:val="0"/>
              <w:adjustRightInd w:val="0"/>
              <w:spacing w:after="0" w:line="360" w:lineRule="auto"/>
              <w:rPr>
                <w:rFonts w:ascii="Times New Roman" w:hAnsi="Times New Roman" w:cs="Times New Roman"/>
                <w:b/>
                <w:bCs/>
                <w:color w:val="202124"/>
                <w:sz w:val="20"/>
                <w:szCs w:val="20"/>
                <w:shd w:val="clear" w:color="auto" w:fill="FFFFFF"/>
              </w:rPr>
            </w:pPr>
          </w:p>
          <w:p>
            <w:pPr>
              <w:autoSpaceDE w:val="0"/>
              <w:autoSpaceDN w:val="0"/>
              <w:adjustRightInd w:val="0"/>
              <w:spacing w:after="0" w:line="360" w:lineRule="auto"/>
              <w:rPr>
                <w:rFonts w:ascii="Times New Roman" w:hAnsi="Times New Roman" w:cs="Times New Roman"/>
                <w:b/>
                <w:bCs/>
                <w:color w:val="202124"/>
                <w:sz w:val="20"/>
                <w:szCs w:val="20"/>
                <w:shd w:val="clear" w:color="auto" w:fill="FFFFFF"/>
              </w:rPr>
            </w:pPr>
            <w:r>
              <w:rPr>
                <w:rFonts w:ascii="Times New Roman" w:hAnsi="Times New Roman" w:cs="Times New Roman"/>
                <w:b/>
                <w:bCs/>
                <w:color w:val="202124"/>
                <w:sz w:val="20"/>
                <w:szCs w:val="20"/>
                <w:shd w:val="clear" w:color="auto" w:fill="FFFFFF"/>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020" w:type="dxa"/>
            <w:vMerge w:val="continue"/>
          </w:tcPr>
          <w:p>
            <w:pPr>
              <w:pStyle w:val="24"/>
              <w:numPr>
                <w:ilvl w:val="0"/>
                <w:numId w:val="15"/>
              </w:numPr>
              <w:autoSpaceDE w:val="0"/>
              <w:autoSpaceDN w:val="0"/>
              <w:adjustRightInd w:val="0"/>
              <w:spacing w:line="360" w:lineRule="auto"/>
              <w:rPr>
                <w:sz w:val="20"/>
                <w:szCs w:val="20"/>
                <w:shd w:val="clear" w:color="auto" w:fill="FFFFFF"/>
              </w:rPr>
            </w:pPr>
          </w:p>
        </w:tc>
        <w:tc>
          <w:tcPr>
            <w:tcW w:w="990" w:type="dxa"/>
          </w:tcPr>
          <w:p>
            <w:pPr>
              <w:autoSpaceDE w:val="0"/>
              <w:autoSpaceDN w:val="0"/>
              <w:adjustRightInd w:val="0"/>
              <w:spacing w:after="0" w:line="360" w:lineRule="auto"/>
              <w:rPr>
                <w:rFonts w:ascii="Times New Roman" w:hAnsi="Times New Roman" w:cs="Times New Roman"/>
                <w:b/>
                <w:bCs/>
                <w:color w:val="202124"/>
                <w:sz w:val="20"/>
                <w:szCs w:val="20"/>
                <w:shd w:val="clear" w:color="auto" w:fill="FFFFFF"/>
              </w:rPr>
            </w:pPr>
          </w:p>
        </w:tc>
        <w:tc>
          <w:tcPr>
            <w:tcW w:w="886" w:type="dxa"/>
          </w:tcPr>
          <w:p>
            <w:pPr>
              <w:autoSpaceDE w:val="0"/>
              <w:autoSpaceDN w:val="0"/>
              <w:adjustRightInd w:val="0"/>
              <w:spacing w:after="0" w:line="360" w:lineRule="auto"/>
              <w:rPr>
                <w:rFonts w:ascii="Times New Roman" w:hAnsi="Times New Roman" w:cs="Times New Roman"/>
                <w:b/>
                <w:bCs/>
                <w:color w:val="202124"/>
                <w:sz w:val="20"/>
                <w:szCs w:val="2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20" w:type="dxa"/>
          </w:tcPr>
          <w:p>
            <w:pPr>
              <w:pStyle w:val="24"/>
              <w:numPr>
                <w:ilvl w:val="0"/>
                <w:numId w:val="15"/>
              </w:numPr>
              <w:autoSpaceDE w:val="0"/>
              <w:autoSpaceDN w:val="0"/>
              <w:adjustRightInd w:val="0"/>
              <w:spacing w:line="360" w:lineRule="auto"/>
              <w:rPr>
                <w:color w:val="202124"/>
                <w:sz w:val="20"/>
                <w:szCs w:val="20"/>
                <w:shd w:val="clear" w:color="auto" w:fill="FFFFFF"/>
              </w:rPr>
            </w:pPr>
            <w:r>
              <w:rPr>
                <w:color w:val="202124"/>
                <w:sz w:val="20"/>
                <w:szCs w:val="20"/>
                <w:shd w:val="clear" w:color="auto" w:fill="FFFFFF"/>
              </w:rPr>
              <w:t>A patient report” I think about my pain all the time and give up many activities because of pain”.  Is it right to score her 8/10 on the on the NRS?</w:t>
            </w:r>
          </w:p>
        </w:tc>
        <w:tc>
          <w:tcPr>
            <w:tcW w:w="990" w:type="dxa"/>
          </w:tcPr>
          <w:p>
            <w:pPr>
              <w:autoSpaceDE w:val="0"/>
              <w:autoSpaceDN w:val="0"/>
              <w:adjustRightInd w:val="0"/>
              <w:spacing w:after="0" w:line="360" w:lineRule="auto"/>
              <w:rPr>
                <w:rFonts w:ascii="Times New Roman" w:hAnsi="Times New Roman" w:cs="Times New Roman"/>
                <w:color w:val="202124"/>
                <w:sz w:val="20"/>
                <w:szCs w:val="20"/>
                <w:shd w:val="clear" w:color="auto" w:fill="FFFFFF"/>
              </w:rPr>
            </w:pPr>
          </w:p>
        </w:tc>
        <w:tc>
          <w:tcPr>
            <w:tcW w:w="886" w:type="dxa"/>
          </w:tcPr>
          <w:p>
            <w:pPr>
              <w:autoSpaceDE w:val="0"/>
              <w:autoSpaceDN w:val="0"/>
              <w:adjustRightInd w:val="0"/>
              <w:spacing w:after="0" w:line="360" w:lineRule="auto"/>
              <w:rPr>
                <w:rFonts w:ascii="Times New Roman" w:hAnsi="Times New Roman" w:cs="Times New Roman"/>
                <w:color w:val="202124"/>
                <w:sz w:val="20"/>
                <w:szCs w:val="2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20" w:type="dxa"/>
          </w:tcPr>
          <w:p>
            <w:pPr>
              <w:pStyle w:val="24"/>
              <w:numPr>
                <w:ilvl w:val="0"/>
                <w:numId w:val="15"/>
              </w:numPr>
              <w:autoSpaceDE w:val="0"/>
              <w:autoSpaceDN w:val="0"/>
              <w:adjustRightInd w:val="0"/>
              <w:spacing w:line="360" w:lineRule="auto"/>
              <w:rPr>
                <w:color w:val="202124"/>
                <w:sz w:val="20"/>
                <w:szCs w:val="20"/>
                <w:shd w:val="clear" w:color="auto" w:fill="FFFFFF"/>
              </w:rPr>
            </w:pPr>
            <w:r>
              <w:rPr>
                <w:color w:val="202124"/>
                <w:sz w:val="20"/>
                <w:szCs w:val="20"/>
                <w:shd w:val="clear" w:color="auto" w:fill="FFFFFF"/>
              </w:rPr>
              <w:t>Miss N.B.M., said that “my pain bothers me, but I can ignore it most of the time. Could it be fine to score the pain as “5/10” on the NRS?</w:t>
            </w:r>
          </w:p>
        </w:tc>
        <w:tc>
          <w:tcPr>
            <w:tcW w:w="990" w:type="dxa"/>
          </w:tcPr>
          <w:p>
            <w:pPr>
              <w:autoSpaceDE w:val="0"/>
              <w:autoSpaceDN w:val="0"/>
              <w:adjustRightInd w:val="0"/>
              <w:spacing w:after="0" w:line="360" w:lineRule="auto"/>
              <w:rPr>
                <w:rFonts w:ascii="Times New Roman" w:hAnsi="Times New Roman" w:cs="Times New Roman"/>
                <w:color w:val="202124"/>
                <w:sz w:val="20"/>
                <w:szCs w:val="20"/>
                <w:shd w:val="clear" w:color="auto" w:fill="FFFFFF"/>
              </w:rPr>
            </w:pPr>
          </w:p>
        </w:tc>
        <w:tc>
          <w:tcPr>
            <w:tcW w:w="886" w:type="dxa"/>
          </w:tcPr>
          <w:p>
            <w:pPr>
              <w:autoSpaceDE w:val="0"/>
              <w:autoSpaceDN w:val="0"/>
              <w:adjustRightInd w:val="0"/>
              <w:spacing w:after="0" w:line="360" w:lineRule="auto"/>
              <w:rPr>
                <w:rFonts w:ascii="Times New Roman" w:hAnsi="Times New Roman" w:cs="Times New Roman"/>
                <w:color w:val="202124"/>
                <w:sz w:val="20"/>
                <w:szCs w:val="2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20" w:type="dxa"/>
          </w:tcPr>
          <w:p>
            <w:pPr>
              <w:pStyle w:val="24"/>
              <w:numPr>
                <w:ilvl w:val="0"/>
                <w:numId w:val="15"/>
              </w:numPr>
              <w:autoSpaceDE w:val="0"/>
              <w:autoSpaceDN w:val="0"/>
              <w:adjustRightInd w:val="0"/>
              <w:spacing w:line="360" w:lineRule="auto"/>
              <w:rPr>
                <w:color w:val="202124"/>
                <w:sz w:val="20"/>
                <w:szCs w:val="20"/>
                <w:shd w:val="clear" w:color="auto" w:fill="FFFFFF"/>
              </w:rPr>
            </w:pPr>
            <w:r>
              <w:rPr>
                <w:sz w:val="20"/>
                <w:szCs w:val="20"/>
                <w:shd w:val="clear" w:color="auto" w:fill="FFFFFF"/>
              </w:rPr>
              <w:t>Mr.P.M today is his 1</w:t>
            </w:r>
            <w:r>
              <w:rPr>
                <w:sz w:val="20"/>
                <w:szCs w:val="20"/>
                <w:shd w:val="clear" w:color="auto" w:fill="FFFFFF"/>
                <w:vertAlign w:val="superscript"/>
              </w:rPr>
              <w:t>st</w:t>
            </w:r>
            <w:r>
              <w:rPr>
                <w:sz w:val="20"/>
                <w:szCs w:val="20"/>
                <w:shd w:val="clear" w:color="auto" w:fill="FFFFFF"/>
              </w:rPr>
              <w:t xml:space="preserve"> POD following abdominal surgery. He is found lying curled in fetal position, quietly in bed and grimaces as he turns in bed. Does 8/10 portray the patient’s pain intensity using the NRS?</w:t>
            </w:r>
          </w:p>
        </w:tc>
        <w:tc>
          <w:tcPr>
            <w:tcW w:w="990" w:type="dxa"/>
          </w:tcPr>
          <w:p>
            <w:pPr>
              <w:autoSpaceDE w:val="0"/>
              <w:autoSpaceDN w:val="0"/>
              <w:adjustRightInd w:val="0"/>
              <w:spacing w:after="0" w:line="360" w:lineRule="auto"/>
              <w:rPr>
                <w:rFonts w:ascii="Times New Roman" w:hAnsi="Times New Roman" w:cs="Times New Roman"/>
                <w:color w:val="202124"/>
                <w:sz w:val="20"/>
                <w:szCs w:val="20"/>
                <w:shd w:val="clear" w:color="auto" w:fill="FFFFFF"/>
              </w:rPr>
            </w:pPr>
          </w:p>
        </w:tc>
        <w:tc>
          <w:tcPr>
            <w:tcW w:w="886" w:type="dxa"/>
          </w:tcPr>
          <w:p>
            <w:pPr>
              <w:autoSpaceDE w:val="0"/>
              <w:autoSpaceDN w:val="0"/>
              <w:adjustRightInd w:val="0"/>
              <w:spacing w:after="0" w:line="360" w:lineRule="auto"/>
              <w:rPr>
                <w:rFonts w:ascii="Times New Roman" w:hAnsi="Times New Roman" w:cs="Times New Roman"/>
                <w:color w:val="202124"/>
                <w:sz w:val="20"/>
                <w:szCs w:val="20"/>
                <w:shd w:val="clear" w:color="auto" w:fill="FFFFFF"/>
              </w:rPr>
            </w:pPr>
          </w:p>
        </w:tc>
      </w:tr>
    </w:tbl>
    <w:p>
      <w:pPr>
        <w:autoSpaceDE w:val="0"/>
        <w:autoSpaceDN w:val="0"/>
        <w:adjustRightInd w:val="0"/>
        <w:spacing w:line="360" w:lineRule="auto"/>
        <w:rPr>
          <w:rFonts w:ascii="Times New Roman" w:hAnsi="Times New Roman" w:eastAsia="MS Mincho" w:cs="Times New Roman"/>
          <w:b/>
          <w:bCs/>
          <w:sz w:val="20"/>
          <w:szCs w:val="20"/>
        </w:rPr>
      </w:pPr>
    </w:p>
    <w:p>
      <w:pPr>
        <w:autoSpaceDE w:val="0"/>
        <w:autoSpaceDN w:val="0"/>
        <w:adjustRightInd w:val="0"/>
        <w:spacing w:line="360" w:lineRule="auto"/>
        <w:rPr>
          <w:rFonts w:ascii="Times New Roman" w:hAnsi="Times New Roman" w:eastAsia="MS Mincho" w:cs="Times New Roman"/>
          <w:b/>
          <w:bCs/>
          <w:sz w:val="20"/>
          <w:szCs w:val="20"/>
        </w:rPr>
      </w:pPr>
    </w:p>
    <w:p>
      <w:pPr>
        <w:autoSpaceDE w:val="0"/>
        <w:autoSpaceDN w:val="0"/>
        <w:adjustRightInd w:val="0"/>
        <w:spacing w:line="360" w:lineRule="auto"/>
        <w:rPr>
          <w:rFonts w:ascii="Times New Roman" w:hAnsi="Times New Roman" w:eastAsia="MS Mincho" w:cs="Times New Roman"/>
          <w:b/>
          <w:bCs/>
          <w:sz w:val="20"/>
          <w:szCs w:val="20"/>
        </w:rPr>
      </w:pPr>
    </w:p>
    <w:p>
      <w:pPr>
        <w:autoSpaceDE w:val="0"/>
        <w:autoSpaceDN w:val="0"/>
        <w:adjustRightInd w:val="0"/>
        <w:spacing w:line="360" w:lineRule="auto"/>
        <w:rPr>
          <w:rFonts w:ascii="Times New Roman" w:hAnsi="Times New Roman" w:eastAsia="MS Mincho" w:cs="Times New Roman"/>
          <w:b/>
          <w:bCs/>
          <w:sz w:val="24"/>
          <w:szCs w:val="24"/>
        </w:rPr>
      </w:pPr>
    </w:p>
    <w:p>
      <w:pPr>
        <w:autoSpaceDE w:val="0"/>
        <w:autoSpaceDN w:val="0"/>
        <w:adjustRightInd w:val="0"/>
        <w:spacing w:line="360" w:lineRule="auto"/>
        <w:rPr>
          <w:rFonts w:ascii="Times New Roman" w:hAnsi="Times New Roman" w:eastAsia="MS Mincho" w:cs="Times New Roman"/>
          <w:b/>
          <w:bCs/>
          <w:sz w:val="24"/>
          <w:szCs w:val="24"/>
        </w:rPr>
      </w:pPr>
    </w:p>
    <w:p>
      <w:pPr>
        <w:autoSpaceDE w:val="0"/>
        <w:autoSpaceDN w:val="0"/>
        <w:adjustRightInd w:val="0"/>
        <w:spacing w:line="360" w:lineRule="auto"/>
        <w:rPr>
          <w:rFonts w:ascii="Times New Roman" w:hAnsi="Times New Roman" w:eastAsia="MS Mincho" w:cs="Times New Roman"/>
          <w:b/>
          <w:bCs/>
          <w:sz w:val="24"/>
          <w:szCs w:val="24"/>
        </w:rPr>
      </w:pPr>
    </w:p>
    <w:p>
      <w:pPr>
        <w:autoSpaceDE w:val="0"/>
        <w:autoSpaceDN w:val="0"/>
        <w:adjustRightInd w:val="0"/>
        <w:spacing w:line="360" w:lineRule="auto"/>
        <w:rPr>
          <w:rFonts w:ascii="Times New Roman" w:hAnsi="Times New Roman" w:eastAsia="MS Mincho" w:cs="Times New Roman"/>
          <w:b/>
          <w:bCs/>
          <w:sz w:val="24"/>
          <w:szCs w:val="24"/>
        </w:rPr>
      </w:pPr>
    </w:p>
    <w:p>
      <w:pPr>
        <w:autoSpaceDE w:val="0"/>
        <w:autoSpaceDN w:val="0"/>
        <w:adjustRightInd w:val="0"/>
        <w:spacing w:line="360" w:lineRule="auto"/>
        <w:rPr>
          <w:rFonts w:ascii="Times New Roman" w:hAnsi="Times New Roman" w:eastAsia="MS Mincho" w:cs="Times New Roman"/>
          <w:b/>
          <w:bCs/>
          <w:sz w:val="24"/>
          <w:szCs w:val="24"/>
        </w:rPr>
      </w:pPr>
    </w:p>
    <w:p>
      <w:pPr>
        <w:autoSpaceDE w:val="0"/>
        <w:autoSpaceDN w:val="0"/>
        <w:adjustRightInd w:val="0"/>
        <w:spacing w:line="360" w:lineRule="auto"/>
        <w:rPr>
          <w:rFonts w:ascii="Times New Roman" w:hAnsi="Times New Roman" w:eastAsia="MS Mincho" w:cs="Times New Roman"/>
          <w:b/>
          <w:bCs/>
          <w:sz w:val="24"/>
          <w:szCs w:val="24"/>
        </w:rPr>
      </w:pPr>
    </w:p>
    <w:p>
      <w:pPr>
        <w:autoSpaceDE w:val="0"/>
        <w:autoSpaceDN w:val="0"/>
        <w:adjustRightInd w:val="0"/>
        <w:spacing w:line="360" w:lineRule="auto"/>
        <w:rPr>
          <w:rFonts w:ascii="Times New Roman" w:hAnsi="Times New Roman" w:eastAsia="MS Mincho" w:cs="Times New Roman"/>
          <w:b/>
          <w:bCs/>
          <w:sz w:val="24"/>
          <w:szCs w:val="24"/>
        </w:rPr>
      </w:pPr>
    </w:p>
    <w:p>
      <w:pPr>
        <w:autoSpaceDE w:val="0"/>
        <w:autoSpaceDN w:val="0"/>
        <w:adjustRightInd w:val="0"/>
        <w:spacing w:line="360" w:lineRule="auto"/>
        <w:rPr>
          <w:rFonts w:ascii="Times New Roman" w:hAnsi="Times New Roman" w:eastAsia="MS Mincho" w:cs="Times New Roman"/>
          <w:b/>
          <w:bCs/>
          <w:sz w:val="24"/>
          <w:szCs w:val="24"/>
        </w:rPr>
      </w:pPr>
    </w:p>
    <w:p>
      <w:pPr>
        <w:autoSpaceDE w:val="0"/>
        <w:autoSpaceDN w:val="0"/>
        <w:adjustRightInd w:val="0"/>
        <w:spacing w:line="360" w:lineRule="auto"/>
        <w:rPr>
          <w:rFonts w:ascii="Times New Roman" w:hAnsi="Times New Roman" w:eastAsia="MS Mincho" w:cs="Times New Roman"/>
          <w:b/>
          <w:bCs/>
          <w:sz w:val="24"/>
          <w:szCs w:val="24"/>
        </w:rPr>
      </w:pPr>
    </w:p>
    <w:p>
      <w:pPr>
        <w:autoSpaceDE w:val="0"/>
        <w:autoSpaceDN w:val="0"/>
        <w:adjustRightInd w:val="0"/>
        <w:spacing w:line="360" w:lineRule="auto"/>
        <w:rPr>
          <w:rFonts w:ascii="Times New Roman" w:hAnsi="Times New Roman" w:eastAsia="MS Mincho" w:cs="Times New Roman"/>
          <w:b/>
          <w:bCs/>
          <w:sz w:val="24"/>
          <w:szCs w:val="24"/>
        </w:rPr>
      </w:pPr>
    </w:p>
    <w:p>
      <w:pPr>
        <w:autoSpaceDE w:val="0"/>
        <w:autoSpaceDN w:val="0"/>
        <w:adjustRightInd w:val="0"/>
        <w:spacing w:line="360" w:lineRule="auto"/>
        <w:rPr>
          <w:rFonts w:ascii="Times New Roman" w:hAnsi="Times New Roman" w:eastAsia="MS Mincho" w:cs="Times New Roman"/>
          <w:b/>
          <w:bCs/>
          <w:sz w:val="24"/>
          <w:szCs w:val="24"/>
        </w:rPr>
      </w:pPr>
    </w:p>
    <w:p>
      <w:pPr>
        <w:autoSpaceDE w:val="0"/>
        <w:autoSpaceDN w:val="0"/>
        <w:adjustRightInd w:val="0"/>
        <w:spacing w:line="360" w:lineRule="auto"/>
        <w:rPr>
          <w:rFonts w:ascii="Times New Roman" w:hAnsi="Times New Roman" w:eastAsia="MS Mincho" w:cs="Times New Roman"/>
          <w:b/>
          <w:bCs/>
          <w:sz w:val="24"/>
          <w:szCs w:val="24"/>
        </w:rPr>
      </w:pPr>
    </w:p>
    <w:p>
      <w:pPr>
        <w:autoSpaceDE w:val="0"/>
        <w:autoSpaceDN w:val="0"/>
        <w:adjustRightInd w:val="0"/>
        <w:spacing w:line="360" w:lineRule="auto"/>
        <w:rPr>
          <w:rFonts w:ascii="Times New Roman" w:hAnsi="Times New Roman" w:eastAsia="MS Mincho" w:cs="Times New Roman"/>
          <w:b/>
          <w:bCs/>
          <w:sz w:val="24"/>
          <w:szCs w:val="24"/>
        </w:rPr>
      </w:pPr>
    </w:p>
    <w:p>
      <w:pPr>
        <w:autoSpaceDE w:val="0"/>
        <w:autoSpaceDN w:val="0"/>
        <w:adjustRightInd w:val="0"/>
        <w:spacing w:line="360" w:lineRule="auto"/>
        <w:rPr>
          <w:rFonts w:ascii="Times New Roman" w:hAnsi="Times New Roman" w:eastAsia="MS Mincho" w:cs="Times New Roman"/>
          <w:b/>
          <w:bCs/>
          <w:sz w:val="24"/>
          <w:szCs w:val="24"/>
        </w:rPr>
      </w:pPr>
    </w:p>
    <w:p>
      <w:pPr>
        <w:autoSpaceDE w:val="0"/>
        <w:autoSpaceDN w:val="0"/>
        <w:adjustRightInd w:val="0"/>
        <w:spacing w:line="360" w:lineRule="auto"/>
        <w:rPr>
          <w:rFonts w:ascii="Times New Roman" w:hAnsi="Times New Roman" w:eastAsia="MS Mincho" w:cs="Times New Roman"/>
          <w:b/>
          <w:bCs/>
          <w:sz w:val="24"/>
          <w:szCs w:val="24"/>
        </w:rPr>
      </w:pPr>
    </w:p>
    <w:p>
      <w:pPr>
        <w:autoSpaceDE w:val="0"/>
        <w:autoSpaceDN w:val="0"/>
        <w:adjustRightInd w:val="0"/>
        <w:spacing w:line="360" w:lineRule="auto"/>
        <w:rPr>
          <w:rFonts w:ascii="Times New Roman" w:hAnsi="Times New Roman" w:eastAsia="MS Mincho" w:cs="Times New Roman"/>
          <w:b/>
          <w:bCs/>
          <w:sz w:val="24"/>
          <w:szCs w:val="24"/>
        </w:rPr>
      </w:pPr>
    </w:p>
    <w:p>
      <w:pPr>
        <w:autoSpaceDE w:val="0"/>
        <w:autoSpaceDN w:val="0"/>
        <w:adjustRightInd w:val="0"/>
        <w:spacing w:line="360" w:lineRule="auto"/>
        <w:rPr>
          <w:rFonts w:ascii="Times New Roman" w:hAnsi="Times New Roman" w:eastAsia="MS Mincho" w:cs="Times New Roman"/>
          <w:b/>
          <w:bCs/>
          <w:sz w:val="24"/>
          <w:szCs w:val="24"/>
        </w:rPr>
      </w:pPr>
    </w:p>
    <w:p>
      <w:pPr>
        <w:autoSpaceDE w:val="0"/>
        <w:autoSpaceDN w:val="0"/>
        <w:adjustRightInd w:val="0"/>
        <w:spacing w:line="360" w:lineRule="auto"/>
        <w:rPr>
          <w:rFonts w:ascii="Times New Roman" w:hAnsi="Times New Roman" w:eastAsia="MS Mincho" w:cs="Times New Roman"/>
          <w:b/>
          <w:bCs/>
          <w:sz w:val="24"/>
          <w:szCs w:val="24"/>
        </w:rPr>
      </w:pPr>
    </w:p>
    <w:p>
      <w:pPr>
        <w:autoSpaceDE w:val="0"/>
        <w:autoSpaceDN w:val="0"/>
        <w:adjustRightInd w:val="0"/>
        <w:spacing w:line="360" w:lineRule="auto"/>
        <w:rPr>
          <w:rFonts w:ascii="Times New Roman" w:hAnsi="Times New Roman" w:eastAsia="MS Mincho" w:cs="Times New Roman"/>
          <w:bCs/>
          <w:sz w:val="24"/>
          <w:szCs w:val="24"/>
        </w:rPr>
      </w:pPr>
      <w:r>
        <w:rPr>
          <w:rFonts w:ascii="Times New Roman" w:hAnsi="Times New Roman" w:eastAsia="MS Mincho" w:cs="Times New Roman"/>
          <w:b/>
          <w:bCs/>
          <w:sz w:val="24"/>
          <w:szCs w:val="24"/>
        </w:rPr>
        <w:t>Part III:</w:t>
      </w:r>
      <w:r>
        <w:rPr>
          <w:rFonts w:ascii="Times New Roman" w:hAnsi="Times New Roman" w:eastAsia="MS Mincho" w:cs="Times New Roman"/>
          <w:b/>
          <w:sz w:val="24"/>
          <w:szCs w:val="24"/>
        </w:rPr>
        <w:t xml:space="preserve"> </w:t>
      </w:r>
      <w:r>
        <w:rPr>
          <w:rFonts w:ascii="Times New Roman" w:hAnsi="Times New Roman" w:eastAsia="MS Mincho" w:cs="Times New Roman"/>
          <w:b/>
          <w:bCs/>
          <w:sz w:val="24"/>
          <w:szCs w:val="24"/>
        </w:rPr>
        <w:t xml:space="preserve">Nurse’s Attitude towards Post-Operative Pain Assessment. </w:t>
      </w:r>
    </w:p>
    <w:p>
      <w:pPr>
        <w:autoSpaceDE w:val="0"/>
        <w:autoSpaceDN w:val="0"/>
        <w:adjustRightInd w:val="0"/>
        <w:spacing w:line="360" w:lineRule="auto"/>
        <w:rPr>
          <w:rFonts w:ascii="Times New Roman" w:hAnsi="Times New Roman" w:eastAsia="MS Mincho" w:cs="Times New Roman"/>
          <w:b/>
          <w:bCs/>
          <w:sz w:val="24"/>
          <w:szCs w:val="24"/>
        </w:rPr>
      </w:pPr>
      <w:r>
        <w:rPr>
          <w:rFonts w:ascii="Times New Roman" w:hAnsi="Times New Roman" w:eastAsia="MS Mincho" w:cs="Times New Roman"/>
          <w:bCs/>
          <w:sz w:val="24"/>
          <w:szCs w:val="24"/>
        </w:rPr>
        <w:t>Please tick the statement with the correct response regarding your attitude towards pain assessment and management</w:t>
      </w:r>
    </w:p>
    <w:tbl>
      <w:tblPr>
        <w:tblStyle w:val="32"/>
        <w:tblW w:w="9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5"/>
        <w:gridCol w:w="1170"/>
        <w:gridCol w:w="810"/>
        <w:gridCol w:w="90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5665"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b/>
                <w:sz w:val="20"/>
                <w:szCs w:val="20"/>
              </w:rPr>
            </w:pPr>
            <w:r>
              <w:rPr>
                <w:rFonts w:ascii="Times New Roman" w:hAnsi="Times New Roman" w:eastAsia="Times New Roman" w:cs="Times New Roman"/>
                <w:b/>
                <w:sz w:val="20"/>
                <w:szCs w:val="20"/>
              </w:rPr>
              <w:t xml:space="preserve">Variable </w:t>
            </w: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b/>
                <w:sz w:val="20"/>
                <w:szCs w:val="20"/>
              </w:rPr>
            </w:pPr>
            <w:r>
              <w:rPr>
                <w:rFonts w:ascii="Times New Roman" w:hAnsi="Times New Roman" w:eastAsia="Times New Roman" w:cs="Times New Roman"/>
                <w:b/>
                <w:sz w:val="20"/>
                <w:szCs w:val="20"/>
              </w:rPr>
              <w:t>Strongly disagree (1)</w:t>
            </w:r>
          </w:p>
        </w:tc>
        <w:tc>
          <w:tcPr>
            <w:tcW w:w="81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b/>
                <w:sz w:val="20"/>
                <w:szCs w:val="20"/>
              </w:rPr>
            </w:pPr>
            <w:r>
              <w:rPr>
                <w:rFonts w:ascii="Times New Roman" w:hAnsi="Times New Roman" w:eastAsia="Times New Roman" w:cs="Times New Roman"/>
                <w:b/>
                <w:sz w:val="20"/>
                <w:szCs w:val="20"/>
              </w:rPr>
              <w:t>Disagree (2)</w:t>
            </w:r>
          </w:p>
        </w:tc>
        <w:tc>
          <w:tcPr>
            <w:tcW w:w="9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b/>
                <w:sz w:val="20"/>
                <w:szCs w:val="20"/>
              </w:rPr>
            </w:pPr>
            <w:r>
              <w:rPr>
                <w:rFonts w:ascii="Times New Roman" w:hAnsi="Times New Roman" w:eastAsia="Times New Roman" w:cs="Times New Roman"/>
                <w:b/>
                <w:sz w:val="20"/>
                <w:szCs w:val="20"/>
              </w:rPr>
              <w:t>Agree (3)</w:t>
            </w: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b/>
                <w:sz w:val="20"/>
                <w:szCs w:val="20"/>
              </w:rPr>
            </w:pPr>
            <w:r>
              <w:rPr>
                <w:rFonts w:ascii="Times New Roman" w:hAnsi="Times New Roman" w:eastAsia="Times New Roman" w:cs="Times New Roman"/>
                <w:b/>
                <w:sz w:val="20"/>
                <w:szCs w:val="20"/>
              </w:rPr>
              <w:t>Strongly Agree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5665" w:type="dxa"/>
            <w:tcBorders>
              <w:top w:val="single" w:color="auto" w:sz="4" w:space="0"/>
              <w:left w:val="single" w:color="auto" w:sz="4" w:space="0"/>
              <w:bottom w:val="single" w:color="auto" w:sz="4" w:space="0"/>
              <w:right w:val="single" w:color="auto" w:sz="4" w:space="0"/>
            </w:tcBorders>
          </w:tcPr>
          <w:p>
            <w:pPr>
              <w:pStyle w:val="24"/>
              <w:numPr>
                <w:ilvl w:val="0"/>
                <w:numId w:val="16"/>
              </w:numPr>
              <w:autoSpaceDE w:val="0"/>
              <w:autoSpaceDN w:val="0"/>
              <w:adjustRightInd w:val="0"/>
              <w:spacing w:line="360" w:lineRule="auto"/>
              <w:rPr>
                <w:rFonts w:eastAsia="Times New Roman"/>
                <w:sz w:val="20"/>
                <w:szCs w:val="20"/>
                <w:shd w:val="clear" w:color="auto" w:fill="FFFFFF"/>
              </w:rPr>
            </w:pPr>
            <w:r>
              <w:rPr>
                <w:sz w:val="20"/>
                <w:szCs w:val="20"/>
              </w:rPr>
              <w:t>I at all times agree with the patient’s self-report of pain</w:t>
            </w: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81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9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5665" w:type="dxa"/>
            <w:tcBorders>
              <w:top w:val="single" w:color="auto" w:sz="4" w:space="0"/>
              <w:left w:val="single" w:color="auto" w:sz="4" w:space="0"/>
              <w:bottom w:val="single" w:color="auto" w:sz="4" w:space="0"/>
              <w:right w:val="single" w:color="auto" w:sz="4" w:space="0"/>
            </w:tcBorders>
          </w:tcPr>
          <w:p>
            <w:pPr>
              <w:pStyle w:val="24"/>
              <w:numPr>
                <w:ilvl w:val="0"/>
                <w:numId w:val="16"/>
              </w:numPr>
              <w:autoSpaceDE w:val="0"/>
              <w:autoSpaceDN w:val="0"/>
              <w:adjustRightInd w:val="0"/>
              <w:spacing w:line="360" w:lineRule="auto"/>
              <w:rPr>
                <w:sz w:val="20"/>
                <w:szCs w:val="20"/>
              </w:rPr>
            </w:pPr>
            <w:r>
              <w:rPr>
                <w:rFonts w:eastAsia="Times New Roman"/>
                <w:sz w:val="20"/>
                <w:szCs w:val="20"/>
                <w:shd w:val="clear" w:color="auto" w:fill="FFFFFF"/>
              </w:rPr>
              <w:t>I anticipate pain in all surgical procedures before I assess and treat pain in a patient</w:t>
            </w: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81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9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665" w:type="dxa"/>
            <w:tcBorders>
              <w:top w:val="single" w:color="auto" w:sz="4" w:space="0"/>
              <w:left w:val="single" w:color="auto" w:sz="4" w:space="0"/>
              <w:bottom w:val="single" w:color="auto" w:sz="4" w:space="0"/>
              <w:right w:val="single" w:color="auto" w:sz="4" w:space="0"/>
            </w:tcBorders>
          </w:tcPr>
          <w:p>
            <w:pPr>
              <w:pStyle w:val="24"/>
              <w:numPr>
                <w:ilvl w:val="0"/>
                <w:numId w:val="16"/>
              </w:numPr>
              <w:autoSpaceDE w:val="0"/>
              <w:autoSpaceDN w:val="0"/>
              <w:adjustRightInd w:val="0"/>
              <w:spacing w:line="360" w:lineRule="auto"/>
              <w:rPr>
                <w:sz w:val="20"/>
                <w:szCs w:val="20"/>
              </w:rPr>
            </w:pPr>
            <w:r>
              <w:rPr>
                <w:sz w:val="20"/>
                <w:szCs w:val="20"/>
              </w:rPr>
              <w:t>Lack of expression in the postoperative patient means lack of pain.</w:t>
            </w: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81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9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5665" w:type="dxa"/>
            <w:tcBorders>
              <w:top w:val="single" w:color="auto" w:sz="4" w:space="0"/>
              <w:left w:val="single" w:color="auto" w:sz="4" w:space="0"/>
              <w:bottom w:val="single" w:color="auto" w:sz="4" w:space="0"/>
              <w:right w:val="single" w:color="auto" w:sz="4" w:space="0"/>
            </w:tcBorders>
          </w:tcPr>
          <w:p>
            <w:pPr>
              <w:pStyle w:val="24"/>
              <w:numPr>
                <w:ilvl w:val="0"/>
                <w:numId w:val="16"/>
              </w:numPr>
              <w:autoSpaceDE w:val="0"/>
              <w:autoSpaceDN w:val="0"/>
              <w:adjustRightInd w:val="0"/>
              <w:spacing w:line="360" w:lineRule="auto"/>
              <w:rPr>
                <w:sz w:val="20"/>
                <w:szCs w:val="20"/>
              </w:rPr>
            </w:pPr>
            <w:r>
              <w:rPr>
                <w:sz w:val="20"/>
                <w:szCs w:val="20"/>
              </w:rPr>
              <w:t>If patient’s thoughts are distracted from pain, they usually do not suffer from severe pain</w:t>
            </w: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r>
              <w:rPr>
                <w:rFonts w:ascii="Times New Roman" w:hAnsi="Times New Roman" w:eastAsia="Times New Roman" w:cs="Times New Roman"/>
                <w:b/>
                <w:bCs/>
                <w:sz w:val="20"/>
                <w:szCs w:val="20"/>
              </w:rPr>
              <w:t>SD</w:t>
            </w:r>
          </w:p>
        </w:tc>
        <w:tc>
          <w:tcPr>
            <w:tcW w:w="81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r>
              <w:rPr>
                <w:rFonts w:ascii="Times New Roman" w:hAnsi="Times New Roman" w:eastAsia="Times New Roman" w:cs="Times New Roman"/>
                <w:b/>
                <w:bCs/>
                <w:sz w:val="20"/>
                <w:szCs w:val="20"/>
              </w:rPr>
              <w:t>D</w:t>
            </w:r>
          </w:p>
        </w:tc>
        <w:tc>
          <w:tcPr>
            <w:tcW w:w="9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A</w:t>
            </w: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5665" w:type="dxa"/>
            <w:tcBorders>
              <w:top w:val="single" w:color="auto" w:sz="4" w:space="0"/>
              <w:left w:val="single" w:color="auto" w:sz="4" w:space="0"/>
              <w:bottom w:val="single" w:color="auto" w:sz="4" w:space="0"/>
              <w:right w:val="single" w:color="auto" w:sz="4" w:space="0"/>
            </w:tcBorders>
          </w:tcPr>
          <w:p>
            <w:pPr>
              <w:pStyle w:val="24"/>
              <w:numPr>
                <w:ilvl w:val="0"/>
                <w:numId w:val="16"/>
              </w:numPr>
              <w:autoSpaceDE w:val="0"/>
              <w:autoSpaceDN w:val="0"/>
              <w:adjustRightInd w:val="0"/>
              <w:spacing w:line="360" w:lineRule="auto"/>
              <w:rPr>
                <w:rFonts w:eastAsia="Times New Roman"/>
                <w:sz w:val="20"/>
                <w:szCs w:val="20"/>
              </w:rPr>
            </w:pPr>
            <w:r>
              <w:rPr>
                <w:sz w:val="20"/>
                <w:szCs w:val="20"/>
              </w:rPr>
              <w:t>Morphine is a very strong drug. Postoperative patients are not expected to feel pain when receiving it.</w:t>
            </w: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b/>
                <w:bCs/>
                <w:sz w:val="20"/>
                <w:szCs w:val="20"/>
              </w:rPr>
            </w:pPr>
          </w:p>
        </w:tc>
        <w:tc>
          <w:tcPr>
            <w:tcW w:w="81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b/>
                <w:bCs/>
                <w:sz w:val="20"/>
                <w:szCs w:val="20"/>
              </w:rPr>
            </w:pPr>
          </w:p>
        </w:tc>
        <w:tc>
          <w:tcPr>
            <w:tcW w:w="9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b/>
                <w:bCs/>
                <w:sz w:val="20"/>
                <w:szCs w:val="20"/>
              </w:rPr>
            </w:pP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665" w:type="dxa"/>
            <w:tcBorders>
              <w:top w:val="single" w:color="auto" w:sz="4" w:space="0"/>
              <w:left w:val="single" w:color="auto" w:sz="4" w:space="0"/>
              <w:bottom w:val="single" w:color="auto" w:sz="4" w:space="0"/>
              <w:right w:val="single" w:color="auto" w:sz="4" w:space="0"/>
            </w:tcBorders>
          </w:tcPr>
          <w:p>
            <w:pPr>
              <w:pStyle w:val="24"/>
              <w:numPr>
                <w:ilvl w:val="0"/>
                <w:numId w:val="16"/>
              </w:numPr>
              <w:autoSpaceDE w:val="0"/>
              <w:autoSpaceDN w:val="0"/>
              <w:adjustRightInd w:val="0"/>
              <w:spacing w:line="360" w:lineRule="auto"/>
              <w:rPr>
                <w:sz w:val="20"/>
                <w:szCs w:val="20"/>
              </w:rPr>
            </w:pPr>
            <w:r>
              <w:rPr>
                <w:sz w:val="20"/>
                <w:szCs w:val="20"/>
                <w:shd w:val="clear" w:color="auto" w:fill="FFFFFF"/>
              </w:rPr>
              <w:t xml:space="preserve">A patient suffering from pain will always complain to the primary nurse </w:t>
            </w: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b/>
                <w:bCs/>
                <w:sz w:val="20"/>
                <w:szCs w:val="20"/>
              </w:rPr>
            </w:pPr>
          </w:p>
        </w:tc>
        <w:tc>
          <w:tcPr>
            <w:tcW w:w="81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b/>
                <w:bCs/>
                <w:sz w:val="20"/>
                <w:szCs w:val="20"/>
              </w:rPr>
            </w:pPr>
          </w:p>
        </w:tc>
        <w:tc>
          <w:tcPr>
            <w:tcW w:w="9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b/>
                <w:bCs/>
                <w:sz w:val="20"/>
                <w:szCs w:val="20"/>
              </w:rPr>
            </w:pP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5665" w:type="dxa"/>
            <w:tcBorders>
              <w:top w:val="single" w:color="auto" w:sz="4" w:space="0"/>
              <w:left w:val="single" w:color="auto" w:sz="4" w:space="0"/>
              <w:bottom w:val="single" w:color="auto" w:sz="4" w:space="0"/>
              <w:right w:val="single" w:color="auto" w:sz="4" w:space="0"/>
            </w:tcBorders>
          </w:tcPr>
          <w:p>
            <w:pPr>
              <w:pStyle w:val="25"/>
              <w:numPr>
                <w:ilvl w:val="0"/>
                <w:numId w:val="16"/>
              </w:numPr>
              <w:spacing w:line="36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hd w:val="clear" w:color="auto" w:fill="FFFFFF"/>
              </w:rPr>
              <w:t>Your visual assessment of the patient reporting pain influences your response and treatment of POP.</w:t>
            </w: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81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9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5665" w:type="dxa"/>
            <w:tcBorders>
              <w:top w:val="single" w:color="auto" w:sz="4" w:space="0"/>
              <w:left w:val="single" w:color="auto" w:sz="4" w:space="0"/>
              <w:bottom w:val="single" w:color="auto" w:sz="4" w:space="0"/>
              <w:right w:val="single" w:color="auto" w:sz="4" w:space="0"/>
            </w:tcBorders>
          </w:tcPr>
          <w:p>
            <w:pPr>
              <w:pStyle w:val="25"/>
              <w:numPr>
                <w:ilvl w:val="0"/>
                <w:numId w:val="16"/>
              </w:numPr>
              <w:spacing w:line="36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hd w:val="clear" w:color="auto" w:fill="FFFFFF"/>
              </w:rPr>
              <w:t>Using pain measurement instruments is integral in post-operative pain management</w:t>
            </w: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81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9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5665" w:type="dxa"/>
            <w:tcBorders>
              <w:top w:val="single" w:color="auto" w:sz="4" w:space="0"/>
              <w:left w:val="single" w:color="auto" w:sz="4" w:space="0"/>
              <w:bottom w:val="single" w:color="auto" w:sz="4" w:space="0"/>
              <w:right w:val="single" w:color="auto" w:sz="4" w:space="0"/>
            </w:tcBorders>
          </w:tcPr>
          <w:p>
            <w:pPr>
              <w:pStyle w:val="25"/>
              <w:numPr>
                <w:ilvl w:val="0"/>
                <w:numId w:val="16"/>
              </w:numPr>
              <w:spacing w:line="36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Elderly patients are not able to cope with opioid analgesics for pain relief</w:t>
            </w: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81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9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5665" w:type="dxa"/>
            <w:tcBorders>
              <w:top w:val="single" w:color="auto" w:sz="4" w:space="0"/>
              <w:left w:val="single" w:color="auto" w:sz="4" w:space="0"/>
              <w:bottom w:val="single" w:color="auto" w:sz="4" w:space="0"/>
              <w:right w:val="single" w:color="auto" w:sz="4" w:space="0"/>
            </w:tcBorders>
          </w:tcPr>
          <w:p>
            <w:pPr>
              <w:pStyle w:val="25"/>
              <w:numPr>
                <w:ilvl w:val="0"/>
                <w:numId w:val="16"/>
              </w:numPr>
              <w:spacing w:line="36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Before using an opioid analgesic, I will encourage the patients to wait a while longer till the next dose  </w:t>
            </w: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81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9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5665" w:type="dxa"/>
            <w:tcBorders>
              <w:top w:val="single" w:color="auto" w:sz="4" w:space="0"/>
              <w:left w:val="single" w:color="auto" w:sz="4" w:space="0"/>
              <w:bottom w:val="single" w:color="auto" w:sz="4" w:space="0"/>
              <w:right w:val="single" w:color="auto" w:sz="4" w:space="0"/>
            </w:tcBorders>
          </w:tcPr>
          <w:p>
            <w:pPr>
              <w:pStyle w:val="25"/>
              <w:numPr>
                <w:ilvl w:val="0"/>
                <w:numId w:val="16"/>
              </w:numPr>
              <w:spacing w:line="36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Nurses should rely exclusively on the patient’s assessment to determine pain intensity</w:t>
            </w: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81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9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5665" w:type="dxa"/>
            <w:tcBorders>
              <w:top w:val="single" w:color="auto" w:sz="4" w:space="0"/>
              <w:left w:val="single" w:color="auto" w:sz="4" w:space="0"/>
              <w:bottom w:val="single" w:color="auto" w:sz="4" w:space="0"/>
              <w:right w:val="single" w:color="auto" w:sz="4" w:space="0"/>
            </w:tcBorders>
          </w:tcPr>
          <w:p>
            <w:pPr>
              <w:pStyle w:val="25"/>
              <w:numPr>
                <w:ilvl w:val="0"/>
                <w:numId w:val="16"/>
              </w:numPr>
              <w:spacing w:line="36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The spiritual beliefs of a patient may determine how they respond to pain.</w:t>
            </w: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81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9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5665" w:type="dxa"/>
            <w:tcBorders>
              <w:top w:val="single" w:color="auto" w:sz="4" w:space="0"/>
              <w:left w:val="single" w:color="auto" w:sz="4" w:space="0"/>
              <w:bottom w:val="single" w:color="auto" w:sz="4" w:space="0"/>
              <w:right w:val="single" w:color="auto" w:sz="4" w:space="0"/>
            </w:tcBorders>
          </w:tcPr>
          <w:p>
            <w:pPr>
              <w:pStyle w:val="25"/>
              <w:numPr>
                <w:ilvl w:val="0"/>
                <w:numId w:val="16"/>
              </w:numPr>
              <w:spacing w:line="36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Patients complaining of pain is not my priority when I am busy</w:t>
            </w: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81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9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5665" w:type="dxa"/>
            <w:tcBorders>
              <w:top w:val="single" w:color="auto" w:sz="4" w:space="0"/>
              <w:left w:val="single" w:color="auto" w:sz="4" w:space="0"/>
              <w:bottom w:val="single" w:color="auto" w:sz="4" w:space="0"/>
              <w:right w:val="single" w:color="auto" w:sz="4" w:space="0"/>
            </w:tcBorders>
          </w:tcPr>
          <w:p>
            <w:pPr>
              <w:pStyle w:val="25"/>
              <w:numPr>
                <w:ilvl w:val="0"/>
                <w:numId w:val="16"/>
              </w:numPr>
              <w:spacing w:line="360" w:lineRule="auto"/>
              <w:rPr>
                <w:rFonts w:ascii="Times New Roman" w:hAnsi="Times New Roman" w:eastAsia="Times New Roman" w:cs="Times New Roman"/>
                <w:sz w:val="20"/>
                <w:szCs w:val="20"/>
                <w:shd w:val="clear" w:color="auto" w:fill="FFFFFF"/>
              </w:rPr>
            </w:pPr>
            <w:r>
              <w:rPr>
                <w:rFonts w:ascii="Times New Roman" w:hAnsi="Times New Roman" w:eastAsia="Times New Roman" w:cs="Times New Roman"/>
                <w:sz w:val="20"/>
                <w:szCs w:val="20"/>
                <w:shd w:val="clear" w:color="auto" w:fill="FFFFFF"/>
              </w:rPr>
              <w:t>The type of surgery done affects my response to pain management</w:t>
            </w: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81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9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5665" w:type="dxa"/>
            <w:tcBorders>
              <w:top w:val="single" w:color="auto" w:sz="4" w:space="0"/>
              <w:left w:val="single" w:color="auto" w:sz="4" w:space="0"/>
              <w:bottom w:val="single" w:color="auto" w:sz="4" w:space="0"/>
              <w:right w:val="single" w:color="auto" w:sz="4" w:space="0"/>
            </w:tcBorders>
          </w:tcPr>
          <w:p>
            <w:pPr>
              <w:pStyle w:val="25"/>
              <w:numPr>
                <w:ilvl w:val="0"/>
                <w:numId w:val="16"/>
              </w:numPr>
              <w:spacing w:line="360" w:lineRule="auto"/>
              <w:rPr>
                <w:rFonts w:ascii="Times New Roman" w:hAnsi="Times New Roman" w:eastAsia="Times New Roman" w:cs="Times New Roman"/>
                <w:sz w:val="20"/>
                <w:szCs w:val="20"/>
                <w:shd w:val="clear" w:color="auto" w:fill="FFFFFF"/>
              </w:rPr>
            </w:pPr>
            <w:r>
              <w:rPr>
                <w:rFonts w:ascii="Times New Roman" w:hAnsi="Times New Roman" w:eastAsia="MS Mincho" w:cs="Times New Roman"/>
                <w:sz w:val="20"/>
                <w:szCs w:val="20"/>
                <w:lang w:eastAsia="ja-JP"/>
              </w:rPr>
              <w:t xml:space="preserve">Women exaggerate post-operative pain during assessment </w:t>
            </w: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81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9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c>
          <w:tcPr>
            <w:tcW w:w="11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360" w:lineRule="auto"/>
              <w:rPr>
                <w:rFonts w:ascii="Times New Roman" w:hAnsi="Times New Roman" w:eastAsia="Times New Roman" w:cs="Times New Roman"/>
                <w:sz w:val="20"/>
                <w:szCs w:val="20"/>
              </w:rPr>
            </w:pPr>
          </w:p>
        </w:tc>
      </w:tr>
    </w:tbl>
    <w:p>
      <w:pPr>
        <w:rPr>
          <w:rFonts w:ascii="Times New Roman" w:hAnsi="Times New Roman" w:cs="Times New Roman"/>
          <w:sz w:val="24"/>
          <w:szCs w:val="24"/>
        </w:rPr>
      </w:pPr>
    </w:p>
    <w:p>
      <w:pPr>
        <w:rPr>
          <w:rFonts w:ascii="Times New Roman" w:hAnsi="Times New Roman" w:cs="Times New Roman"/>
          <w:b/>
          <w:bCs/>
          <w:sz w:val="24"/>
          <w:szCs w:val="24"/>
        </w:rPr>
      </w:pPr>
      <w:r>
        <w:rPr>
          <w:rFonts w:ascii="Times New Roman" w:hAnsi="Times New Roman" w:cs="Times New Roman"/>
          <w:b/>
          <w:bCs/>
          <w:sz w:val="24"/>
          <w:szCs w:val="24"/>
        </w:rPr>
        <w:t>Appendix B: Integration of The Pain Assessment Scale to the Nurses' Knowledge, Attitude, and Practice towards Post-Operative Pain Management</w:t>
      </w:r>
    </w:p>
    <w:p>
      <w:pPr>
        <w:rPr>
          <w:rFonts w:ascii="Times New Roman" w:hAnsi="Times New Roman" w:cs="Times New Roman"/>
          <w:b/>
          <w:bCs/>
          <w:i/>
          <w:iCs/>
          <w:sz w:val="24"/>
          <w:szCs w:val="24"/>
        </w:rPr>
      </w:pPr>
      <w:r>
        <w:rPr>
          <w:rFonts w:ascii="Times New Roman" w:hAnsi="Times New Roman" w:cs="Times New Roman"/>
          <w:b/>
          <w:bCs/>
          <w:i/>
          <w:iCs/>
          <w:sz w:val="24"/>
          <w:szCs w:val="24"/>
        </w:rPr>
        <w:t xml:space="preserve">Checklist for practice </w:t>
      </w:r>
    </w:p>
    <w:tbl>
      <w:tblPr>
        <w:tblStyle w:val="19"/>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5"/>
        <w:gridCol w:w="1006"/>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7"/>
              </w:numPr>
              <w:autoSpaceDE w:val="0"/>
              <w:autoSpaceDN w:val="0"/>
              <w:adjustRightInd w:val="0"/>
              <w:spacing w:line="360" w:lineRule="auto"/>
              <w:rPr>
                <w:rFonts w:eastAsia="Times New Roman"/>
                <w:color w:val="000000"/>
              </w:rPr>
            </w:pPr>
            <w:r>
              <w:rPr>
                <w:rFonts w:eastAsia="Times New Roman"/>
                <w:color w:val="000000"/>
              </w:rPr>
              <w:t xml:space="preserve">Activities during pain assessment and management </w:t>
            </w:r>
          </w:p>
        </w:tc>
        <w:tc>
          <w:tcPr>
            <w:tcW w:w="1006" w:type="dxa"/>
          </w:tcPr>
          <w:p>
            <w:pPr>
              <w:autoSpaceDE w:val="0"/>
              <w:autoSpaceDN w:val="0"/>
              <w:adjustRightInd w:val="0"/>
              <w:spacing w:after="0" w:line="360" w:lineRule="auto"/>
              <w:rPr>
                <w:rFonts w:ascii="Times New Roman" w:hAnsi="Times New Roman" w:eastAsia="MS Mincho" w:cs="Times New Roman"/>
                <w:sz w:val="24"/>
                <w:szCs w:val="24"/>
              </w:rPr>
            </w:pPr>
            <w:r>
              <w:rPr>
                <w:rFonts w:ascii="Times New Roman" w:hAnsi="Times New Roman" w:eastAsia="MS Mincho" w:cs="Times New Roman"/>
                <w:sz w:val="24"/>
                <w:szCs w:val="24"/>
              </w:rPr>
              <w:t xml:space="preserve">Done </w:t>
            </w:r>
          </w:p>
        </w:tc>
        <w:tc>
          <w:tcPr>
            <w:tcW w:w="1154" w:type="dxa"/>
          </w:tcPr>
          <w:p>
            <w:pPr>
              <w:autoSpaceDE w:val="0"/>
              <w:autoSpaceDN w:val="0"/>
              <w:adjustRightInd w:val="0"/>
              <w:spacing w:after="0" w:line="360" w:lineRule="auto"/>
              <w:rPr>
                <w:rFonts w:ascii="Times New Roman" w:hAnsi="Times New Roman" w:eastAsia="MS Mincho" w:cs="Times New Roman"/>
                <w:sz w:val="24"/>
                <w:szCs w:val="24"/>
              </w:rPr>
            </w:pPr>
            <w:r>
              <w:rPr>
                <w:rFonts w:ascii="Times New Roman" w:hAnsi="Times New Roman" w:eastAsia="MS Mincho" w:cs="Times New Roman"/>
                <w:sz w:val="24"/>
                <w:szCs w:val="24"/>
              </w:rPr>
              <w:t xml:space="preserve">Not done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7"/>
              </w:numPr>
              <w:autoSpaceDE w:val="0"/>
              <w:autoSpaceDN w:val="0"/>
              <w:adjustRightInd w:val="0"/>
              <w:spacing w:line="360" w:lineRule="auto"/>
            </w:pPr>
            <w:r>
              <w:rPr>
                <w:rFonts w:eastAsia="Times New Roman"/>
                <w:color w:val="000000"/>
              </w:rPr>
              <w:t>Provides direct nursing care to POP patients.</w:t>
            </w:r>
          </w:p>
        </w:tc>
        <w:tc>
          <w:tcPr>
            <w:tcW w:w="1006" w:type="dxa"/>
          </w:tcPr>
          <w:p>
            <w:pPr>
              <w:autoSpaceDE w:val="0"/>
              <w:autoSpaceDN w:val="0"/>
              <w:adjustRightInd w:val="0"/>
              <w:spacing w:after="0" w:line="360" w:lineRule="auto"/>
              <w:rPr>
                <w:rFonts w:ascii="Times New Roman" w:hAnsi="Times New Roman" w:eastAsia="MS Mincho" w:cs="Times New Roman"/>
                <w:sz w:val="24"/>
                <w:szCs w:val="24"/>
              </w:rPr>
            </w:pPr>
          </w:p>
        </w:tc>
        <w:tc>
          <w:tcPr>
            <w:tcW w:w="1154" w:type="dxa"/>
          </w:tcPr>
          <w:p>
            <w:pPr>
              <w:autoSpaceDE w:val="0"/>
              <w:autoSpaceDN w:val="0"/>
              <w:adjustRightInd w:val="0"/>
              <w:spacing w:after="0" w:line="360" w:lineRule="auto"/>
              <w:rPr>
                <w:rFonts w:ascii="Times New Roman" w:hAnsi="Times New Roman" w:eastAsia="MS Mincho"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7"/>
              </w:numPr>
              <w:autoSpaceDE w:val="0"/>
              <w:autoSpaceDN w:val="0"/>
              <w:adjustRightInd w:val="0"/>
              <w:spacing w:line="360" w:lineRule="auto"/>
            </w:pPr>
            <w:r>
              <w:rPr>
                <w:rFonts w:eastAsia="Times New Roman"/>
                <w:color w:val="000000"/>
              </w:rPr>
              <w:t>Assesses for pain intensity for patient who are able to communicate.</w:t>
            </w:r>
          </w:p>
        </w:tc>
        <w:tc>
          <w:tcPr>
            <w:tcW w:w="1006" w:type="dxa"/>
          </w:tcPr>
          <w:p>
            <w:pPr>
              <w:autoSpaceDE w:val="0"/>
              <w:autoSpaceDN w:val="0"/>
              <w:adjustRightInd w:val="0"/>
              <w:spacing w:after="0" w:line="360" w:lineRule="auto"/>
              <w:rPr>
                <w:rFonts w:ascii="Times New Roman" w:hAnsi="Times New Roman" w:eastAsia="MS Mincho" w:cs="Times New Roman"/>
                <w:sz w:val="24"/>
                <w:szCs w:val="24"/>
              </w:rPr>
            </w:pPr>
          </w:p>
        </w:tc>
        <w:tc>
          <w:tcPr>
            <w:tcW w:w="1154" w:type="dxa"/>
          </w:tcPr>
          <w:p>
            <w:pPr>
              <w:autoSpaceDE w:val="0"/>
              <w:autoSpaceDN w:val="0"/>
              <w:adjustRightInd w:val="0"/>
              <w:spacing w:after="0" w:line="360" w:lineRule="auto"/>
              <w:rPr>
                <w:rFonts w:ascii="Times New Roman" w:hAnsi="Times New Roman" w:eastAsia="MS Mincho"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7"/>
              </w:numPr>
              <w:autoSpaceDE w:val="0"/>
              <w:autoSpaceDN w:val="0"/>
              <w:adjustRightInd w:val="0"/>
              <w:spacing w:line="360" w:lineRule="auto"/>
              <w:rPr>
                <w:rFonts w:eastAsia="Times New Roman"/>
                <w:color w:val="000000"/>
              </w:rPr>
            </w:pPr>
            <w:r>
              <w:rPr>
                <w:rFonts w:eastAsia="Times New Roman"/>
                <w:color w:val="000000"/>
              </w:rPr>
              <w:t>Assesses pain using the PQRST</w:t>
            </w:r>
          </w:p>
        </w:tc>
        <w:tc>
          <w:tcPr>
            <w:tcW w:w="1006" w:type="dxa"/>
          </w:tcPr>
          <w:p>
            <w:pPr>
              <w:autoSpaceDE w:val="0"/>
              <w:autoSpaceDN w:val="0"/>
              <w:adjustRightInd w:val="0"/>
              <w:spacing w:after="0" w:line="360" w:lineRule="auto"/>
              <w:rPr>
                <w:rFonts w:ascii="Times New Roman" w:hAnsi="Times New Roman" w:eastAsia="MS Mincho" w:cs="Times New Roman"/>
                <w:sz w:val="24"/>
                <w:szCs w:val="24"/>
              </w:rPr>
            </w:pPr>
          </w:p>
        </w:tc>
        <w:tc>
          <w:tcPr>
            <w:tcW w:w="1154" w:type="dxa"/>
          </w:tcPr>
          <w:p>
            <w:pPr>
              <w:autoSpaceDE w:val="0"/>
              <w:autoSpaceDN w:val="0"/>
              <w:adjustRightInd w:val="0"/>
              <w:spacing w:after="0" w:line="360" w:lineRule="auto"/>
              <w:rPr>
                <w:rFonts w:ascii="Times New Roman" w:hAnsi="Times New Roman" w:eastAsia="MS Mincho"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7"/>
              </w:numPr>
              <w:autoSpaceDE w:val="0"/>
              <w:autoSpaceDN w:val="0"/>
              <w:adjustRightInd w:val="0"/>
              <w:spacing w:line="360" w:lineRule="auto"/>
            </w:pPr>
            <w:r>
              <w:rPr>
                <w:rFonts w:eastAsia="Times New Roman"/>
                <w:color w:val="000000"/>
              </w:rPr>
              <w:t>Assesses pain using a pain assessment tool.</w:t>
            </w:r>
          </w:p>
        </w:tc>
        <w:tc>
          <w:tcPr>
            <w:tcW w:w="1006" w:type="dxa"/>
          </w:tcPr>
          <w:p>
            <w:pPr>
              <w:autoSpaceDE w:val="0"/>
              <w:autoSpaceDN w:val="0"/>
              <w:adjustRightInd w:val="0"/>
              <w:spacing w:after="0" w:line="360" w:lineRule="auto"/>
              <w:rPr>
                <w:rFonts w:ascii="Times New Roman" w:hAnsi="Times New Roman" w:eastAsia="MS Mincho" w:cs="Times New Roman"/>
                <w:sz w:val="24"/>
                <w:szCs w:val="24"/>
              </w:rPr>
            </w:pPr>
          </w:p>
        </w:tc>
        <w:tc>
          <w:tcPr>
            <w:tcW w:w="1154" w:type="dxa"/>
          </w:tcPr>
          <w:p>
            <w:pPr>
              <w:autoSpaceDE w:val="0"/>
              <w:autoSpaceDN w:val="0"/>
              <w:adjustRightInd w:val="0"/>
              <w:spacing w:after="0" w:line="360" w:lineRule="auto"/>
              <w:rPr>
                <w:rFonts w:ascii="Times New Roman" w:hAnsi="Times New Roman" w:eastAsia="MS Mincho"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7"/>
              </w:numPr>
              <w:autoSpaceDE w:val="0"/>
              <w:autoSpaceDN w:val="0"/>
              <w:adjustRightInd w:val="0"/>
              <w:spacing w:line="360" w:lineRule="auto"/>
            </w:pPr>
            <w:r>
              <w:rPr>
                <w:rFonts w:eastAsia="Times New Roman"/>
                <w:color w:val="000000"/>
              </w:rPr>
              <w:t>Clearly documents pain assessment findings using a numeric rating scale</w:t>
            </w:r>
          </w:p>
        </w:tc>
        <w:tc>
          <w:tcPr>
            <w:tcW w:w="1006" w:type="dxa"/>
          </w:tcPr>
          <w:p>
            <w:pPr>
              <w:autoSpaceDE w:val="0"/>
              <w:autoSpaceDN w:val="0"/>
              <w:adjustRightInd w:val="0"/>
              <w:spacing w:after="0" w:line="360" w:lineRule="auto"/>
              <w:rPr>
                <w:rFonts w:ascii="Times New Roman" w:hAnsi="Times New Roman" w:eastAsia="MS Mincho" w:cs="Times New Roman"/>
                <w:sz w:val="24"/>
                <w:szCs w:val="24"/>
              </w:rPr>
            </w:pPr>
          </w:p>
        </w:tc>
        <w:tc>
          <w:tcPr>
            <w:tcW w:w="1154" w:type="dxa"/>
          </w:tcPr>
          <w:p>
            <w:pPr>
              <w:autoSpaceDE w:val="0"/>
              <w:autoSpaceDN w:val="0"/>
              <w:adjustRightInd w:val="0"/>
              <w:spacing w:after="0" w:line="360" w:lineRule="auto"/>
              <w:rPr>
                <w:rFonts w:ascii="Times New Roman" w:hAnsi="Times New Roman" w:eastAsia="MS Mincho"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7"/>
              </w:numPr>
              <w:autoSpaceDE w:val="0"/>
              <w:autoSpaceDN w:val="0"/>
              <w:adjustRightInd w:val="0"/>
              <w:spacing w:line="360" w:lineRule="auto"/>
            </w:pPr>
            <w:r>
              <w:rPr>
                <w:rFonts w:eastAsia="Times New Roman"/>
                <w:color w:val="000000"/>
              </w:rPr>
              <w:t>Explains clearly to ensure the patient understands the pain levels on the scale</w:t>
            </w:r>
          </w:p>
        </w:tc>
        <w:tc>
          <w:tcPr>
            <w:tcW w:w="1006" w:type="dxa"/>
          </w:tcPr>
          <w:p>
            <w:pPr>
              <w:autoSpaceDE w:val="0"/>
              <w:autoSpaceDN w:val="0"/>
              <w:adjustRightInd w:val="0"/>
              <w:spacing w:after="0" w:line="360" w:lineRule="auto"/>
              <w:rPr>
                <w:rFonts w:ascii="Times New Roman" w:hAnsi="Times New Roman" w:eastAsia="MS Mincho" w:cs="Times New Roman"/>
                <w:sz w:val="24"/>
                <w:szCs w:val="24"/>
              </w:rPr>
            </w:pPr>
          </w:p>
        </w:tc>
        <w:tc>
          <w:tcPr>
            <w:tcW w:w="1154" w:type="dxa"/>
          </w:tcPr>
          <w:p>
            <w:pPr>
              <w:autoSpaceDE w:val="0"/>
              <w:autoSpaceDN w:val="0"/>
              <w:adjustRightInd w:val="0"/>
              <w:spacing w:after="0" w:line="360" w:lineRule="auto"/>
              <w:rPr>
                <w:rFonts w:ascii="Times New Roman" w:hAnsi="Times New Roman" w:eastAsia="MS Mincho"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7"/>
              </w:numPr>
              <w:autoSpaceDE w:val="0"/>
              <w:autoSpaceDN w:val="0"/>
              <w:adjustRightInd w:val="0"/>
              <w:spacing w:line="360" w:lineRule="auto"/>
            </w:pPr>
            <w:r>
              <w:t>Communicates findings with the relevant authority</w:t>
            </w:r>
          </w:p>
        </w:tc>
        <w:tc>
          <w:tcPr>
            <w:tcW w:w="1006" w:type="dxa"/>
          </w:tcPr>
          <w:p>
            <w:pPr>
              <w:autoSpaceDE w:val="0"/>
              <w:autoSpaceDN w:val="0"/>
              <w:adjustRightInd w:val="0"/>
              <w:spacing w:after="0" w:line="360" w:lineRule="auto"/>
              <w:rPr>
                <w:rFonts w:ascii="Times New Roman" w:hAnsi="Times New Roman" w:eastAsia="MS Mincho" w:cs="Times New Roman"/>
                <w:sz w:val="24"/>
                <w:szCs w:val="24"/>
              </w:rPr>
            </w:pPr>
          </w:p>
        </w:tc>
        <w:tc>
          <w:tcPr>
            <w:tcW w:w="1154" w:type="dxa"/>
          </w:tcPr>
          <w:p>
            <w:pPr>
              <w:autoSpaceDE w:val="0"/>
              <w:autoSpaceDN w:val="0"/>
              <w:adjustRightInd w:val="0"/>
              <w:spacing w:after="0" w:line="360" w:lineRule="auto"/>
              <w:rPr>
                <w:rFonts w:ascii="Times New Roman" w:hAnsi="Times New Roman" w:eastAsia="MS Mincho"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7"/>
              </w:numPr>
              <w:autoSpaceDE w:val="0"/>
              <w:autoSpaceDN w:val="0"/>
              <w:adjustRightInd w:val="0"/>
              <w:spacing w:line="360" w:lineRule="auto"/>
            </w:pPr>
            <w:r>
              <w:rPr>
                <w:rFonts w:eastAsia="Times New Roman"/>
                <w:color w:val="000000"/>
              </w:rPr>
              <w:t>Agrees with patients’ statements about their pain</w:t>
            </w:r>
          </w:p>
        </w:tc>
        <w:tc>
          <w:tcPr>
            <w:tcW w:w="1006" w:type="dxa"/>
          </w:tcPr>
          <w:p>
            <w:pPr>
              <w:autoSpaceDE w:val="0"/>
              <w:autoSpaceDN w:val="0"/>
              <w:adjustRightInd w:val="0"/>
              <w:spacing w:after="0" w:line="360" w:lineRule="auto"/>
              <w:rPr>
                <w:rFonts w:ascii="Times New Roman" w:hAnsi="Times New Roman" w:eastAsia="MS Mincho" w:cs="Times New Roman"/>
                <w:sz w:val="24"/>
                <w:szCs w:val="24"/>
              </w:rPr>
            </w:pPr>
          </w:p>
        </w:tc>
        <w:tc>
          <w:tcPr>
            <w:tcW w:w="1154" w:type="dxa"/>
          </w:tcPr>
          <w:p>
            <w:pPr>
              <w:autoSpaceDE w:val="0"/>
              <w:autoSpaceDN w:val="0"/>
              <w:adjustRightInd w:val="0"/>
              <w:spacing w:after="0" w:line="360" w:lineRule="auto"/>
              <w:rPr>
                <w:rFonts w:ascii="Times New Roman" w:hAnsi="Times New Roman" w:eastAsia="MS Mincho"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7"/>
              </w:numPr>
              <w:autoSpaceDE w:val="0"/>
              <w:autoSpaceDN w:val="0"/>
              <w:adjustRightInd w:val="0"/>
              <w:spacing w:line="360" w:lineRule="auto"/>
            </w:pPr>
            <w:r>
              <w:rPr>
                <w:rFonts w:eastAsia="Times New Roman"/>
                <w:color w:val="000000"/>
              </w:rPr>
              <w:t>Probes to validate patients’ statements about their pain</w:t>
            </w:r>
          </w:p>
        </w:tc>
        <w:tc>
          <w:tcPr>
            <w:tcW w:w="1006" w:type="dxa"/>
          </w:tcPr>
          <w:p>
            <w:pPr>
              <w:autoSpaceDE w:val="0"/>
              <w:autoSpaceDN w:val="0"/>
              <w:adjustRightInd w:val="0"/>
              <w:spacing w:after="0" w:line="360" w:lineRule="auto"/>
              <w:rPr>
                <w:rFonts w:ascii="Times New Roman" w:hAnsi="Times New Roman" w:eastAsia="MS Mincho" w:cs="Times New Roman"/>
                <w:sz w:val="24"/>
                <w:szCs w:val="24"/>
              </w:rPr>
            </w:pPr>
          </w:p>
        </w:tc>
        <w:tc>
          <w:tcPr>
            <w:tcW w:w="1154" w:type="dxa"/>
          </w:tcPr>
          <w:p>
            <w:pPr>
              <w:autoSpaceDE w:val="0"/>
              <w:autoSpaceDN w:val="0"/>
              <w:adjustRightInd w:val="0"/>
              <w:spacing w:after="0" w:line="360" w:lineRule="auto"/>
              <w:rPr>
                <w:rFonts w:ascii="Times New Roman" w:hAnsi="Times New Roman" w:eastAsia="MS Mincho"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7"/>
              </w:numPr>
              <w:autoSpaceDE w:val="0"/>
              <w:autoSpaceDN w:val="0"/>
              <w:adjustRightInd w:val="0"/>
              <w:spacing w:line="360" w:lineRule="auto"/>
              <w:rPr>
                <w:rFonts w:eastAsia="Times New Roman"/>
                <w:color w:val="000000"/>
              </w:rPr>
            </w:pPr>
            <w:r>
              <w:rPr>
                <w:rFonts w:eastAsia="Times New Roman"/>
                <w:color w:val="000000"/>
              </w:rPr>
              <w:t>Educates patient about pain management strategies (list for each checklist)</w:t>
            </w:r>
          </w:p>
        </w:tc>
        <w:tc>
          <w:tcPr>
            <w:tcW w:w="1006" w:type="dxa"/>
          </w:tcPr>
          <w:p>
            <w:pPr>
              <w:autoSpaceDE w:val="0"/>
              <w:autoSpaceDN w:val="0"/>
              <w:adjustRightInd w:val="0"/>
              <w:spacing w:after="0" w:line="360" w:lineRule="auto"/>
              <w:rPr>
                <w:rFonts w:ascii="Times New Roman" w:hAnsi="Times New Roman" w:eastAsia="MS Mincho" w:cs="Times New Roman"/>
                <w:sz w:val="24"/>
                <w:szCs w:val="24"/>
              </w:rPr>
            </w:pPr>
          </w:p>
        </w:tc>
        <w:tc>
          <w:tcPr>
            <w:tcW w:w="1154" w:type="dxa"/>
          </w:tcPr>
          <w:p>
            <w:pPr>
              <w:autoSpaceDE w:val="0"/>
              <w:autoSpaceDN w:val="0"/>
              <w:adjustRightInd w:val="0"/>
              <w:spacing w:after="0" w:line="360" w:lineRule="auto"/>
              <w:rPr>
                <w:rFonts w:ascii="Times New Roman" w:hAnsi="Times New Roman" w:eastAsia="MS Mincho"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7"/>
              </w:numPr>
              <w:autoSpaceDE w:val="0"/>
              <w:autoSpaceDN w:val="0"/>
              <w:adjustRightInd w:val="0"/>
              <w:spacing w:line="360" w:lineRule="auto"/>
              <w:rPr>
                <w:rFonts w:eastAsia="Times New Roman"/>
                <w:color w:val="000000"/>
              </w:rPr>
            </w:pPr>
            <w:r>
              <w:rPr>
                <w:rFonts w:eastAsia="Times New Roman"/>
                <w:color w:val="000000"/>
              </w:rPr>
              <w:t>Reassesses pain level after intervention</w:t>
            </w:r>
          </w:p>
        </w:tc>
        <w:tc>
          <w:tcPr>
            <w:tcW w:w="1006" w:type="dxa"/>
          </w:tcPr>
          <w:p>
            <w:pPr>
              <w:autoSpaceDE w:val="0"/>
              <w:autoSpaceDN w:val="0"/>
              <w:adjustRightInd w:val="0"/>
              <w:spacing w:after="0" w:line="360" w:lineRule="auto"/>
              <w:rPr>
                <w:rFonts w:ascii="Times New Roman" w:hAnsi="Times New Roman" w:eastAsia="MS Mincho" w:cs="Times New Roman"/>
                <w:sz w:val="24"/>
                <w:szCs w:val="24"/>
              </w:rPr>
            </w:pPr>
          </w:p>
        </w:tc>
        <w:tc>
          <w:tcPr>
            <w:tcW w:w="1154" w:type="dxa"/>
          </w:tcPr>
          <w:p>
            <w:pPr>
              <w:autoSpaceDE w:val="0"/>
              <w:autoSpaceDN w:val="0"/>
              <w:adjustRightInd w:val="0"/>
              <w:spacing w:after="0" w:line="360" w:lineRule="auto"/>
              <w:rPr>
                <w:rFonts w:ascii="Times New Roman" w:hAnsi="Times New Roman" w:eastAsia="MS Mincho"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7"/>
              </w:numPr>
              <w:autoSpaceDE w:val="0"/>
              <w:autoSpaceDN w:val="0"/>
              <w:adjustRightInd w:val="0"/>
              <w:spacing w:line="360" w:lineRule="auto"/>
              <w:rPr>
                <w:rFonts w:eastAsia="Times New Roman"/>
                <w:color w:val="000000"/>
              </w:rPr>
            </w:pPr>
            <w:r>
              <w:rPr>
                <w:rFonts w:eastAsia="Times New Roman"/>
                <w:color w:val="000000"/>
              </w:rPr>
              <w:t>Involves patient and family in pain assessment plan</w:t>
            </w:r>
          </w:p>
        </w:tc>
        <w:tc>
          <w:tcPr>
            <w:tcW w:w="1006" w:type="dxa"/>
          </w:tcPr>
          <w:p>
            <w:pPr>
              <w:autoSpaceDE w:val="0"/>
              <w:autoSpaceDN w:val="0"/>
              <w:adjustRightInd w:val="0"/>
              <w:spacing w:after="0" w:line="360" w:lineRule="auto"/>
              <w:rPr>
                <w:rFonts w:ascii="Times New Roman" w:hAnsi="Times New Roman" w:eastAsia="MS Mincho" w:cs="Times New Roman"/>
                <w:sz w:val="24"/>
                <w:szCs w:val="24"/>
              </w:rPr>
            </w:pPr>
          </w:p>
        </w:tc>
        <w:tc>
          <w:tcPr>
            <w:tcW w:w="1154" w:type="dxa"/>
          </w:tcPr>
          <w:p>
            <w:pPr>
              <w:autoSpaceDE w:val="0"/>
              <w:autoSpaceDN w:val="0"/>
              <w:adjustRightInd w:val="0"/>
              <w:spacing w:after="0" w:line="360" w:lineRule="auto"/>
              <w:rPr>
                <w:rFonts w:ascii="Times New Roman" w:hAnsi="Times New Roman" w:eastAsia="MS Mincho"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7"/>
              </w:numPr>
              <w:autoSpaceDE w:val="0"/>
              <w:autoSpaceDN w:val="0"/>
              <w:adjustRightInd w:val="0"/>
              <w:spacing w:line="360" w:lineRule="auto"/>
              <w:rPr>
                <w:rFonts w:eastAsia="Times New Roman"/>
                <w:color w:val="000000"/>
              </w:rPr>
            </w:pPr>
            <w:r>
              <w:rPr>
                <w:rFonts w:eastAsia="Times New Roman"/>
                <w:color w:val="000000"/>
              </w:rPr>
              <w:t>Documents treatment modality for pain</w:t>
            </w:r>
          </w:p>
        </w:tc>
        <w:tc>
          <w:tcPr>
            <w:tcW w:w="1006" w:type="dxa"/>
          </w:tcPr>
          <w:p>
            <w:pPr>
              <w:autoSpaceDE w:val="0"/>
              <w:autoSpaceDN w:val="0"/>
              <w:adjustRightInd w:val="0"/>
              <w:spacing w:after="0" w:line="360" w:lineRule="auto"/>
              <w:rPr>
                <w:rFonts w:ascii="Times New Roman" w:hAnsi="Times New Roman" w:eastAsia="MS Mincho" w:cs="Times New Roman"/>
                <w:sz w:val="24"/>
                <w:szCs w:val="24"/>
              </w:rPr>
            </w:pPr>
          </w:p>
        </w:tc>
        <w:tc>
          <w:tcPr>
            <w:tcW w:w="1154" w:type="dxa"/>
          </w:tcPr>
          <w:p>
            <w:pPr>
              <w:autoSpaceDE w:val="0"/>
              <w:autoSpaceDN w:val="0"/>
              <w:adjustRightInd w:val="0"/>
              <w:spacing w:after="0" w:line="360" w:lineRule="auto"/>
              <w:rPr>
                <w:rFonts w:ascii="Times New Roman" w:hAnsi="Times New Roman" w:eastAsia="MS Mincho"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tcPr>
          <w:p>
            <w:pPr>
              <w:pStyle w:val="24"/>
              <w:numPr>
                <w:ilvl w:val="0"/>
                <w:numId w:val="17"/>
              </w:numPr>
              <w:rPr>
                <w:rFonts w:eastAsia="Times New Roman"/>
                <w:color w:val="000000"/>
              </w:rPr>
            </w:pPr>
            <w:r>
              <w:rPr>
                <w:rFonts w:eastAsia="Times New Roman"/>
                <w:color w:val="000000"/>
              </w:rPr>
              <w:t xml:space="preserve">Impact of pain on functionality is documented. </w:t>
            </w:r>
          </w:p>
          <w:p>
            <w:pPr>
              <w:autoSpaceDE w:val="0"/>
              <w:autoSpaceDN w:val="0"/>
              <w:adjustRightInd w:val="0"/>
              <w:spacing w:after="0" w:line="360" w:lineRule="auto"/>
              <w:ind w:left="360"/>
              <w:contextualSpacing/>
              <w:rPr>
                <w:rFonts w:ascii="Times New Roman" w:hAnsi="Times New Roman" w:eastAsia="Times New Roman" w:cs="Times New Roman"/>
                <w:color w:val="000000"/>
                <w:sz w:val="24"/>
                <w:szCs w:val="24"/>
                <w:lang w:eastAsia="ja-JP"/>
              </w:rPr>
            </w:pPr>
          </w:p>
        </w:tc>
        <w:tc>
          <w:tcPr>
            <w:tcW w:w="1006" w:type="dxa"/>
          </w:tcPr>
          <w:p>
            <w:pPr>
              <w:autoSpaceDE w:val="0"/>
              <w:autoSpaceDN w:val="0"/>
              <w:adjustRightInd w:val="0"/>
              <w:spacing w:after="0" w:line="360" w:lineRule="auto"/>
              <w:rPr>
                <w:rFonts w:ascii="Times New Roman" w:hAnsi="Times New Roman" w:eastAsia="MS Mincho" w:cs="Times New Roman"/>
                <w:sz w:val="24"/>
                <w:szCs w:val="24"/>
              </w:rPr>
            </w:pPr>
          </w:p>
        </w:tc>
        <w:tc>
          <w:tcPr>
            <w:tcW w:w="1154" w:type="dxa"/>
          </w:tcPr>
          <w:p>
            <w:pPr>
              <w:autoSpaceDE w:val="0"/>
              <w:autoSpaceDN w:val="0"/>
              <w:adjustRightInd w:val="0"/>
              <w:spacing w:after="0" w:line="360" w:lineRule="auto"/>
              <w:rPr>
                <w:rFonts w:ascii="Times New Roman" w:hAnsi="Times New Roman" w:eastAsia="MS Mincho" w:cs="Times New Roman"/>
                <w:sz w:val="24"/>
                <w:szCs w:val="24"/>
              </w:rPr>
            </w:pPr>
          </w:p>
        </w:tc>
      </w:tr>
    </w:tbl>
    <w:p>
      <w:pPr>
        <w:rPr>
          <w:rFonts w:ascii="Times New Roman" w:hAnsi="Times New Roman" w:cs="Times New Roman"/>
          <w:b/>
          <w:bCs/>
          <w:sz w:val="24"/>
          <w:szCs w:val="24"/>
        </w:rPr>
      </w:pPr>
    </w:p>
    <w:p>
      <w:pPr>
        <w:rPr>
          <w:rFonts w:ascii="Times New Roman" w:hAnsi="Times New Roman" w:cs="Times New Roman"/>
          <w:b/>
          <w:bCs/>
          <w:sz w:val="24"/>
          <w:szCs w:val="24"/>
        </w:rPr>
      </w:pPr>
    </w:p>
    <w:p>
      <w:pPr>
        <w:rPr>
          <w:rFonts w:ascii="Times New Roman" w:hAnsi="Times New Roman" w:cs="Times New Roman"/>
          <w:b/>
          <w:bCs/>
          <w:sz w:val="24"/>
          <w:szCs w:val="24"/>
        </w:rPr>
      </w:pPr>
    </w:p>
    <w:p>
      <w:pPr>
        <w:rPr>
          <w:rFonts w:ascii="Times New Roman" w:hAnsi="Times New Roman" w:cs="Times New Roman"/>
          <w:b/>
          <w:bCs/>
          <w:sz w:val="24"/>
          <w:szCs w:val="24"/>
        </w:rPr>
      </w:pPr>
    </w:p>
    <w:p>
      <w:pPr>
        <w:rPr>
          <w:rFonts w:ascii="Times New Roman" w:hAnsi="Times New Roman" w:cs="Times New Roman"/>
          <w:b/>
          <w:bCs/>
          <w:sz w:val="24"/>
          <w:szCs w:val="24"/>
        </w:rPr>
      </w:pPr>
    </w:p>
    <w:p>
      <w:pPr>
        <w:rPr>
          <w:rFonts w:ascii="Times New Roman" w:hAnsi="Times New Roman" w:cs="Times New Roman"/>
          <w:b/>
          <w:bCs/>
          <w:sz w:val="24"/>
          <w:szCs w:val="24"/>
        </w:rPr>
      </w:pPr>
    </w:p>
    <w:p>
      <w:pPr>
        <w:rPr>
          <w:rFonts w:ascii="Times New Roman" w:hAnsi="Times New Roman" w:cs="Times New Roman"/>
          <w:b/>
          <w:bCs/>
          <w:sz w:val="24"/>
          <w:szCs w:val="24"/>
        </w:rPr>
      </w:pPr>
      <w:r>
        <w:rPr>
          <w:rFonts w:ascii="Times New Roman" w:hAnsi="Times New Roman" w:cs="Times New Roman"/>
          <w:b/>
          <w:bCs/>
          <w:sz w:val="24"/>
          <w:szCs w:val="24"/>
        </w:rPr>
        <w:t>Appendix C. Pre and Posttest Results for Integration of the Pain Assessment Scale to the Nurses Knowledge, Attitude and Practice towards Post Operative Pain Management.</w:t>
      </w:r>
    </w:p>
    <w:tbl>
      <w:tblPr>
        <w:tblStyle w:val="7"/>
        <w:tblW w:w="8815" w:type="dxa"/>
        <w:tblInd w:w="0" w:type="dxa"/>
        <w:tblLayout w:type="autofit"/>
        <w:tblCellMar>
          <w:top w:w="0" w:type="dxa"/>
          <w:left w:w="108" w:type="dxa"/>
          <w:bottom w:w="0" w:type="dxa"/>
          <w:right w:w="108" w:type="dxa"/>
        </w:tblCellMar>
      </w:tblPr>
      <w:tblGrid>
        <w:gridCol w:w="1580"/>
        <w:gridCol w:w="1740"/>
        <w:gridCol w:w="1740"/>
        <w:gridCol w:w="1520"/>
        <w:gridCol w:w="2235"/>
      </w:tblGrid>
      <w:tr>
        <w:tblPrEx>
          <w:tblCellMar>
            <w:top w:w="0" w:type="dxa"/>
            <w:left w:w="108" w:type="dxa"/>
            <w:bottom w:w="0" w:type="dxa"/>
            <w:right w:w="108" w:type="dxa"/>
          </w:tblCellMar>
        </w:tblPrEx>
        <w:trPr>
          <w:trHeight w:val="936" w:hRule="atLeast"/>
        </w:trPr>
        <w:tc>
          <w:tcPr>
            <w:tcW w:w="158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Respondents</w:t>
            </w:r>
          </w:p>
        </w:tc>
        <w:tc>
          <w:tcPr>
            <w:tcW w:w="174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 xml:space="preserve">Pretest knowledge total </w:t>
            </w:r>
          </w:p>
        </w:tc>
        <w:tc>
          <w:tcPr>
            <w:tcW w:w="174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Posttest knowledge totals</w:t>
            </w:r>
          </w:p>
        </w:tc>
        <w:tc>
          <w:tcPr>
            <w:tcW w:w="152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Pretest attitude total</w:t>
            </w:r>
          </w:p>
        </w:tc>
        <w:tc>
          <w:tcPr>
            <w:tcW w:w="223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Posttest attitude total</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67</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58</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55</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77</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63</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67</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50</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85</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68</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62</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57</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62</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57</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67</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57</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73</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9</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47</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88</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47</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68</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11</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60</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60</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12</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50</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67</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13</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63</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67</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14</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50</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77</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68</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16</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67</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62</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17</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63</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68</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18</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50</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80</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19</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63</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73</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90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60</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67</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21</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68</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75</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22</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82</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23</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90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55</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83</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24</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62</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82</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90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78</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26</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80</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27</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73</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28</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67</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67</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29</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48</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73</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62</w:t>
            </w:r>
          </w:p>
        </w:tc>
        <w:tc>
          <w:tcPr>
            <w:tcW w:w="223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73</w:t>
            </w:r>
          </w:p>
        </w:tc>
      </w:tr>
    </w:tbl>
    <w:p>
      <w:pPr>
        <w:pStyle w:val="9"/>
        <w:keepNext/>
        <w:rPr>
          <w:rFonts w:ascii="Times New Roman" w:hAnsi="Times New Roman" w:cs="Times New Roman"/>
          <w:b/>
          <w:bCs/>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b/>
          <w:bCs/>
          <w:sz w:val="24"/>
          <w:szCs w:val="24"/>
        </w:rPr>
      </w:pPr>
      <w:r>
        <w:rPr>
          <w:rFonts w:ascii="Times New Roman" w:hAnsi="Times New Roman" w:cs="Times New Roman"/>
          <w:b/>
          <w:bCs/>
          <w:sz w:val="24"/>
          <w:szCs w:val="24"/>
        </w:rPr>
        <w:t>Appendix C. Pre and Posttest Results for Integration of the Pain Assessment Scale to the Nurses Knowledge, Attitude and Practice towards Post Operative Pain Management.</w:t>
      </w:r>
    </w:p>
    <w:tbl>
      <w:tblPr>
        <w:tblStyle w:val="7"/>
        <w:tblW w:w="8635" w:type="dxa"/>
        <w:tblInd w:w="0" w:type="dxa"/>
        <w:tblLayout w:type="autofit"/>
        <w:tblCellMar>
          <w:top w:w="0" w:type="dxa"/>
          <w:left w:w="108" w:type="dxa"/>
          <w:bottom w:w="0" w:type="dxa"/>
          <w:right w:w="108" w:type="dxa"/>
        </w:tblCellMar>
      </w:tblPr>
      <w:tblGrid>
        <w:gridCol w:w="1580"/>
        <w:gridCol w:w="1740"/>
        <w:gridCol w:w="1740"/>
        <w:gridCol w:w="1520"/>
        <w:gridCol w:w="2055"/>
      </w:tblGrid>
      <w:tr>
        <w:tblPrEx>
          <w:tblCellMar>
            <w:top w:w="0" w:type="dxa"/>
            <w:left w:w="108" w:type="dxa"/>
            <w:bottom w:w="0" w:type="dxa"/>
            <w:right w:w="108" w:type="dxa"/>
          </w:tblCellMar>
        </w:tblPrEx>
        <w:trPr>
          <w:trHeight w:val="936" w:hRule="atLeast"/>
        </w:trPr>
        <w:tc>
          <w:tcPr>
            <w:tcW w:w="158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Respondents</w:t>
            </w:r>
          </w:p>
        </w:tc>
        <w:tc>
          <w:tcPr>
            <w:tcW w:w="174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 xml:space="preserve">Pretest knowledge total </w:t>
            </w:r>
          </w:p>
        </w:tc>
        <w:tc>
          <w:tcPr>
            <w:tcW w:w="174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Posttest knowledge totals</w:t>
            </w:r>
          </w:p>
        </w:tc>
        <w:tc>
          <w:tcPr>
            <w:tcW w:w="152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Pretest attitude total</w:t>
            </w:r>
          </w:p>
        </w:tc>
        <w:tc>
          <w:tcPr>
            <w:tcW w:w="205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Posttest attitude total</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31</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62</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68</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32</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95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60</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82</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33</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90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60</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80</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34</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55</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80</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60</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68</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36</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63</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85</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37</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58</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67</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38</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62</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39</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90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63</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78</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62</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78</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41</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63</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68</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42</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55</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63</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43</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55</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55</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44</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68</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72</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63</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78</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46</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72</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75</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47</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95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52</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82</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48</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72</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72</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49</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57</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82</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68</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62</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51</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90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55</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68</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52</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63</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60</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53</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57</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54</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63</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62</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78</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56</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58</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57</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62</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73</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58</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75</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67</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59</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48</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67</w:t>
            </w:r>
          </w:p>
        </w:tc>
      </w:tr>
      <w:tr>
        <w:tblPrEx>
          <w:tblCellMar>
            <w:top w:w="0" w:type="dxa"/>
            <w:left w:w="108" w:type="dxa"/>
            <w:bottom w:w="0" w:type="dxa"/>
            <w:right w:w="108" w:type="dxa"/>
          </w:tblCellMar>
        </w:tblPrEx>
        <w:trPr>
          <w:trHeight w:val="312" w:hRule="atLeast"/>
        </w:trPr>
        <w:tc>
          <w:tcPr>
            <w:tcW w:w="1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60</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55</w:t>
            </w:r>
          </w:p>
        </w:tc>
        <w:tc>
          <w:tcPr>
            <w:tcW w:w="174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75</w:t>
            </w:r>
          </w:p>
        </w:tc>
        <w:tc>
          <w:tcPr>
            <w:tcW w:w="152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58</w:t>
            </w:r>
          </w:p>
        </w:tc>
        <w:tc>
          <w:tcPr>
            <w:tcW w:w="2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75</w:t>
            </w:r>
          </w:p>
        </w:tc>
      </w:tr>
    </w:tbl>
    <w:p>
      <w:pPr>
        <w:rPr>
          <w:rFonts w:ascii="Times New Roman" w:hAnsi="Times New Roman" w:cs="Times New Roman"/>
          <w:sz w:val="24"/>
          <w:szCs w:val="24"/>
        </w:rPr>
      </w:pPr>
    </w:p>
    <w:p>
      <w:pPr>
        <w:spacing w:line="256" w:lineRule="auto"/>
        <w:rPr>
          <w:rFonts w:ascii="Times New Roman" w:hAnsi="Times New Roman" w:eastAsia="MS Mincho" w:cs="Times New Roman"/>
          <w:sz w:val="24"/>
          <w:szCs w:val="24"/>
          <w:lang w:eastAsia="ja-JP"/>
        </w:rPr>
      </w:pPr>
    </w:p>
    <w:p>
      <w:pPr>
        <w:spacing w:line="256" w:lineRule="auto"/>
        <w:rPr>
          <w:rFonts w:ascii="Times New Roman" w:hAnsi="Times New Roman" w:eastAsia="MS Mincho" w:cs="Times New Roman"/>
          <w:sz w:val="24"/>
          <w:szCs w:val="24"/>
          <w:lang w:eastAsia="ja-JP"/>
        </w:rPr>
      </w:pPr>
    </w:p>
    <w:p>
      <w:pPr>
        <w:pStyle w:val="3"/>
        <w:rPr>
          <w:rFonts w:ascii="Times New Roman" w:hAnsi="Times New Roman" w:cs="Times New Roman"/>
          <w:b w:val="0"/>
          <w:sz w:val="24"/>
          <w:szCs w:val="24"/>
          <w:lang w:eastAsia="ja-JP"/>
        </w:rPr>
      </w:pPr>
      <w:bookmarkStart w:id="267" w:name="_Toc142753443"/>
      <w:r>
        <w:rPr>
          <w:rFonts w:ascii="Times New Roman" w:hAnsi="Times New Roman" w:cs="Times New Roman"/>
          <w:sz w:val="24"/>
          <w:szCs w:val="24"/>
          <w:lang w:eastAsia="ja-JP"/>
        </w:rPr>
        <w:t>Glossary of Terms and Acronyms</w:t>
      </w:r>
      <w:bookmarkEnd w:id="267"/>
    </w:p>
    <w:p>
      <w:pPr>
        <w:spacing w:line="256" w:lineRule="auto"/>
        <w:rPr>
          <w:rFonts w:ascii="Times New Roman" w:hAnsi="Times New Roman" w:eastAsia="MS Mincho" w:cs="Times New Roman"/>
          <w:sz w:val="24"/>
          <w:szCs w:val="24"/>
          <w:lang w:eastAsia="ja-JP"/>
        </w:rPr>
      </w:pPr>
      <w:r>
        <w:rPr>
          <w:rFonts w:ascii="Times New Roman" w:hAnsi="Times New Roman" w:eastAsia="MS Mincho" w:cs="Times New Roman"/>
          <w:sz w:val="24"/>
          <w:szCs w:val="24"/>
          <w:lang w:eastAsia="ja-JP"/>
        </w:rPr>
        <w:t>PAS – Pain Assessment</w:t>
      </w:r>
    </w:p>
    <w:p>
      <w:pPr>
        <w:spacing w:line="256" w:lineRule="auto"/>
        <w:rPr>
          <w:rFonts w:ascii="Times New Roman" w:hAnsi="Times New Roman" w:eastAsia="MS Mincho" w:cs="Times New Roman"/>
          <w:sz w:val="24"/>
          <w:szCs w:val="24"/>
          <w:lang w:eastAsia="ja-JP"/>
        </w:rPr>
      </w:pPr>
      <w:r>
        <w:rPr>
          <w:rFonts w:ascii="Times New Roman" w:hAnsi="Times New Roman" w:eastAsia="MS Mincho" w:cs="Times New Roman"/>
          <w:sz w:val="24"/>
          <w:szCs w:val="24"/>
          <w:lang w:eastAsia="ja-JP"/>
        </w:rPr>
        <w:t>POP - Postoperative pain management</w:t>
      </w:r>
    </w:p>
    <w:p>
      <w:pPr>
        <w:spacing w:line="256" w:lineRule="auto"/>
        <w:rPr>
          <w:rFonts w:ascii="Times New Roman" w:hAnsi="Times New Roman" w:eastAsia="MS Mincho" w:cs="Times New Roman"/>
          <w:sz w:val="24"/>
          <w:szCs w:val="24"/>
          <w:lang w:eastAsia="ja-JP"/>
        </w:rPr>
      </w:pPr>
      <w:r>
        <w:rPr>
          <w:rFonts w:ascii="Times New Roman" w:hAnsi="Times New Roman" w:eastAsia="MS Mincho" w:cs="Times New Roman"/>
          <w:sz w:val="24"/>
          <w:szCs w:val="24"/>
          <w:lang w:eastAsia="ja-JP"/>
        </w:rPr>
        <w:t xml:space="preserve">NRS- Numerical Rating Scale </w:t>
      </w:r>
    </w:p>
    <w:p>
      <w:pPr>
        <w:spacing w:line="256" w:lineRule="auto"/>
        <w:rPr>
          <w:rFonts w:ascii="Times New Roman" w:hAnsi="Times New Roman" w:eastAsia="MS Mincho" w:cs="Times New Roman"/>
          <w:sz w:val="24"/>
          <w:szCs w:val="24"/>
          <w:lang w:eastAsia="ja-JP"/>
        </w:rPr>
      </w:pPr>
    </w:p>
    <w:p>
      <w:pPr>
        <w:spacing w:line="256" w:lineRule="auto"/>
        <w:rPr>
          <w:rFonts w:ascii="Times New Roman" w:hAnsi="Times New Roman" w:eastAsia="MS Mincho" w:cs="Times New Roman"/>
          <w:sz w:val="24"/>
          <w:szCs w:val="24"/>
          <w:lang w:eastAsia="ja-JP"/>
        </w:rPr>
      </w:pPr>
    </w:p>
    <w:p>
      <w:pPr>
        <w:spacing w:line="256" w:lineRule="auto"/>
        <w:rPr>
          <w:rFonts w:ascii="Times New Roman" w:hAnsi="Times New Roman" w:eastAsia="MS Mincho" w:cs="Times New Roman"/>
          <w:sz w:val="24"/>
          <w:szCs w:val="24"/>
          <w:lang w:eastAsia="ja-JP"/>
        </w:rPr>
      </w:pPr>
    </w:p>
    <w:sectPr>
      <w:footerReference r:id="rId11" w:type="default"/>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AdvTT5235d5a9">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等线">
    <w:altName w:val="Microsoft YaHe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64199162"/>
      <w:docPartObj>
        <w:docPartGallery w:val="autotext"/>
      </w:docPartObj>
    </w:sdtPr>
    <w:sdtContent>
      <w:p>
        <w:pPr>
          <w:pStyle w:val="14"/>
          <w:jc w:val="center"/>
        </w:pPr>
        <w:r>
          <w:fldChar w:fldCharType="begin"/>
        </w:r>
        <w:r>
          <w:instrText xml:space="preserve"> PAGE   \* MERGEFORMAT </w:instrText>
        </w:r>
        <w:r>
          <w:fldChar w:fldCharType="separate"/>
        </w:r>
        <w:r>
          <w:t>21</w:t>
        </w:r>
        <w:r>
          <w:fldChar w:fldCharType="end"/>
        </w:r>
      </w:p>
    </w:sdtContent>
  </w:sdt>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4742305"/>
      <w:docPartObj>
        <w:docPartGallery w:val="autotext"/>
      </w:docPartObj>
    </w:sdtPr>
    <w:sdtContent>
      <w:p>
        <w:pPr>
          <w:pStyle w:val="14"/>
          <w:jc w:val="center"/>
        </w:pPr>
        <w:r>
          <w:fldChar w:fldCharType="begin"/>
        </w:r>
        <w:r>
          <w:instrText xml:space="preserve"> PAGE   \* MERGEFORMAT </w:instrText>
        </w:r>
        <w:r>
          <w:fldChar w:fldCharType="separate"/>
        </w:r>
        <w:r>
          <w:t>1</w:t>
        </w:r>
        <w:r>
          <w:fldChar w:fldCharType="end"/>
        </w:r>
      </w:p>
    </w:sdtContent>
  </w:sdt>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adjustRightInd w:val="0"/>
      <w:spacing w:after="0" w:line="200" w:lineRule="exact"/>
      <w:rPr>
        <w:rFonts w:ascii="Times New Roman" w:hAnsi="Times New Roman"/>
        <w:sz w:val="20"/>
        <w:szCs w:val="20"/>
      </w:rPr>
    </w:pPr>
    <w:r>
      <mc:AlternateContent>
        <mc:Choice Requires="wps">
          <w:drawing>
            <wp:anchor distT="0" distB="0" distL="114300" distR="114300" simplePos="0" relativeHeight="251660288" behindDoc="1" locked="0" layoutInCell="0" allowOverlap="1">
              <wp:simplePos x="0" y="0"/>
              <wp:positionH relativeFrom="page">
                <wp:posOffset>3789680</wp:posOffset>
              </wp:positionH>
              <wp:positionV relativeFrom="page">
                <wp:posOffset>9274175</wp:posOffset>
              </wp:positionV>
              <wp:extent cx="194310" cy="165735"/>
              <wp:effectExtent l="0" t="0" r="0" b="0"/>
              <wp:wrapNone/>
              <wp:docPr id="25" name="Text Box 25"/>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wps:spPr>
                    <wps:txbx>
                      <w:txbxContent>
                        <w:p>
                          <w:pPr>
                            <w:widowControl w:val="0"/>
                            <w:autoSpaceDE w:val="0"/>
                            <w:autoSpaceDN w:val="0"/>
                            <w:adjustRightInd w:val="0"/>
                            <w:spacing w:after="0" w:line="245" w:lineRule="exact"/>
                            <w:ind w:left="40"/>
                            <w:rPr>
                              <w:rFonts w:cs="Calibri"/>
                            </w:rPr>
                          </w:pPr>
                          <w:r>
                            <w:rPr>
                              <w:rFonts w:cs="Calibri"/>
                              <w:position w:val="1"/>
                            </w:rPr>
                            <w:fldChar w:fldCharType="begin"/>
                          </w:r>
                          <w:r>
                            <w:rPr>
                              <w:rFonts w:cs="Calibri"/>
                              <w:position w:val="1"/>
                            </w:rPr>
                            <w:instrText xml:space="preserve"> PAGE </w:instrText>
                          </w:r>
                          <w:r>
                            <w:rPr>
                              <w:rFonts w:cs="Calibri"/>
                              <w:position w:val="1"/>
                            </w:rPr>
                            <w:fldChar w:fldCharType="separate"/>
                          </w:r>
                          <w:r>
                            <w:rPr>
                              <w:rFonts w:cs="Calibri"/>
                              <w:position w:val="1"/>
                            </w:rPr>
                            <w:t>91</w:t>
                          </w:r>
                          <w:r>
                            <w:rPr>
                              <w:rFonts w:cs="Calibri"/>
                              <w:position w:val="1"/>
                            </w:rP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98.4pt;margin-top:730.25pt;height:13.05pt;width:15.3pt;mso-position-horizontal-relative:page;mso-position-vertical-relative:page;z-index:-251656192;mso-width-relative:page;mso-height-relative:page;" filled="f" stroked="f" coordsize="21600,21600" o:allowincell="f" o:gfxdata="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rxzV2wAAAA0BAAAPAAAAAAAAAAEAIAAAACIAAABkcnMvZG93&#10;bnJldi54bWxQSwECFAAUAAAACACHTuJAHeP1nP0BAAAFBAAADgAAAAAAAAABACAAAAAqAQAAZHJz&#10;L2Uyb0RvYy54bWxQSwUGAAAAAAYABgBZAQAAmQUAAAAA&#10;">
              <v:fill on="f" focussize="0,0"/>
              <v:stroke on="f"/>
              <v:imagedata o:title=""/>
              <o:lock v:ext="edit" aspectratio="f"/>
              <v:textbox inset="0mm,0mm,0mm,0mm">
                <w:txbxContent>
                  <w:p>
                    <w:pPr>
                      <w:widowControl w:val="0"/>
                      <w:autoSpaceDE w:val="0"/>
                      <w:autoSpaceDN w:val="0"/>
                      <w:adjustRightInd w:val="0"/>
                      <w:spacing w:after="0" w:line="245" w:lineRule="exact"/>
                      <w:ind w:left="40"/>
                      <w:rPr>
                        <w:rFonts w:cs="Calibri"/>
                      </w:rPr>
                    </w:pPr>
                    <w:r>
                      <w:rPr>
                        <w:rFonts w:cs="Calibri"/>
                        <w:position w:val="1"/>
                      </w:rPr>
                      <w:fldChar w:fldCharType="begin"/>
                    </w:r>
                    <w:r>
                      <w:rPr>
                        <w:rFonts w:cs="Calibri"/>
                        <w:position w:val="1"/>
                      </w:rPr>
                      <w:instrText xml:space="preserve"> PAGE </w:instrText>
                    </w:r>
                    <w:r>
                      <w:rPr>
                        <w:rFonts w:cs="Calibri"/>
                        <w:position w:val="1"/>
                      </w:rPr>
                      <w:fldChar w:fldCharType="separate"/>
                    </w:r>
                    <w:r>
                      <w:rPr>
                        <w:rFonts w:cs="Calibri"/>
                        <w:position w:val="1"/>
                      </w:rPr>
                      <w:t>91</w:t>
                    </w:r>
                    <w:r>
                      <w:rPr>
                        <w:rFonts w:cs="Calibri"/>
                        <w:position w:val="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3A673D"/>
    <w:multiLevelType w:val="multilevel"/>
    <w:tmpl w:val="213A673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2E826D70"/>
    <w:multiLevelType w:val="multilevel"/>
    <w:tmpl w:val="2E826D70"/>
    <w:lvl w:ilvl="0" w:tentative="0">
      <w:start w:val="2"/>
      <w:numFmt w:val="decimal"/>
      <w:lvlText w:val="%1"/>
      <w:lvlJc w:val="left"/>
      <w:pPr>
        <w:ind w:left="420" w:hanging="420"/>
      </w:pPr>
      <w:rPr>
        <w:rFonts w:hint="default"/>
      </w:rPr>
    </w:lvl>
    <w:lvl w:ilvl="1" w:tentative="0">
      <w:start w:val="57"/>
      <w:numFmt w:val="decimal"/>
      <w:lvlText w:val="%1.%2"/>
      <w:lvlJc w:val="left"/>
      <w:pPr>
        <w:ind w:left="420" w:hanging="4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2">
    <w:nsid w:val="34DE7594"/>
    <w:multiLevelType w:val="multilevel"/>
    <w:tmpl w:val="34DE759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59837D5"/>
    <w:multiLevelType w:val="multilevel"/>
    <w:tmpl w:val="359837D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379872AB"/>
    <w:multiLevelType w:val="multilevel"/>
    <w:tmpl w:val="379872A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3DE83F25"/>
    <w:multiLevelType w:val="multilevel"/>
    <w:tmpl w:val="3DE83F2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40C0394D"/>
    <w:multiLevelType w:val="multilevel"/>
    <w:tmpl w:val="40C0394D"/>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
    <w:nsid w:val="41B03A31"/>
    <w:multiLevelType w:val="multilevel"/>
    <w:tmpl w:val="41B03A31"/>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8">
    <w:nsid w:val="43D7540C"/>
    <w:multiLevelType w:val="multilevel"/>
    <w:tmpl w:val="43D7540C"/>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
    <w:nsid w:val="45737E01"/>
    <w:multiLevelType w:val="multilevel"/>
    <w:tmpl w:val="45737E01"/>
    <w:lvl w:ilvl="0" w:tentative="0">
      <w:start w:val="1"/>
      <w:numFmt w:val="lowerLetter"/>
      <w:lvlText w:val="%1."/>
      <w:lvlJc w:val="left"/>
      <w:pPr>
        <w:ind w:left="2160" w:hanging="360"/>
      </w:pPr>
    </w:lvl>
    <w:lvl w:ilvl="1" w:tentative="0">
      <w:start w:val="1"/>
      <w:numFmt w:val="lowerLetter"/>
      <w:lvlText w:val="%2."/>
      <w:lvlJc w:val="left"/>
      <w:pPr>
        <w:ind w:left="2880" w:hanging="360"/>
      </w:pPr>
    </w:lvl>
    <w:lvl w:ilvl="2" w:tentative="0">
      <w:start w:val="1"/>
      <w:numFmt w:val="lowerRoman"/>
      <w:lvlText w:val="%3."/>
      <w:lvlJc w:val="right"/>
      <w:pPr>
        <w:ind w:left="3600" w:hanging="180"/>
      </w:pPr>
    </w:lvl>
    <w:lvl w:ilvl="3" w:tentative="0">
      <w:start w:val="1"/>
      <w:numFmt w:val="decimal"/>
      <w:lvlText w:val="%4."/>
      <w:lvlJc w:val="left"/>
      <w:pPr>
        <w:ind w:left="4320" w:hanging="360"/>
      </w:pPr>
    </w:lvl>
    <w:lvl w:ilvl="4" w:tentative="0">
      <w:start w:val="1"/>
      <w:numFmt w:val="lowerLetter"/>
      <w:lvlText w:val="%5."/>
      <w:lvlJc w:val="left"/>
      <w:pPr>
        <w:ind w:left="5040" w:hanging="360"/>
      </w:pPr>
    </w:lvl>
    <w:lvl w:ilvl="5" w:tentative="0">
      <w:start w:val="1"/>
      <w:numFmt w:val="lowerRoman"/>
      <w:lvlText w:val="%6."/>
      <w:lvlJc w:val="right"/>
      <w:pPr>
        <w:ind w:left="5760" w:hanging="180"/>
      </w:pPr>
    </w:lvl>
    <w:lvl w:ilvl="6" w:tentative="0">
      <w:start w:val="1"/>
      <w:numFmt w:val="decimal"/>
      <w:lvlText w:val="%7."/>
      <w:lvlJc w:val="left"/>
      <w:pPr>
        <w:ind w:left="6480" w:hanging="360"/>
      </w:pPr>
    </w:lvl>
    <w:lvl w:ilvl="7" w:tentative="0">
      <w:start w:val="1"/>
      <w:numFmt w:val="lowerLetter"/>
      <w:lvlText w:val="%8."/>
      <w:lvlJc w:val="left"/>
      <w:pPr>
        <w:ind w:left="7200" w:hanging="360"/>
      </w:pPr>
    </w:lvl>
    <w:lvl w:ilvl="8" w:tentative="0">
      <w:start w:val="1"/>
      <w:numFmt w:val="lowerRoman"/>
      <w:lvlText w:val="%9."/>
      <w:lvlJc w:val="right"/>
      <w:pPr>
        <w:ind w:left="7920" w:hanging="180"/>
      </w:pPr>
    </w:lvl>
  </w:abstractNum>
  <w:abstractNum w:abstractNumId="10">
    <w:nsid w:val="46515B85"/>
    <w:multiLevelType w:val="multilevel"/>
    <w:tmpl w:val="46515B8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54D12CCD"/>
    <w:multiLevelType w:val="multilevel"/>
    <w:tmpl w:val="54D12CCD"/>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2">
    <w:nsid w:val="5ACA3A28"/>
    <w:multiLevelType w:val="multilevel"/>
    <w:tmpl w:val="5ACA3A2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5C916724"/>
    <w:multiLevelType w:val="multilevel"/>
    <w:tmpl w:val="5C916724"/>
    <w:lvl w:ilvl="0" w:tentative="0">
      <w:start w:val="1"/>
      <w:numFmt w:val="decimal"/>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5CE452B3"/>
    <w:multiLevelType w:val="multilevel"/>
    <w:tmpl w:val="5CE452B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704A0BDC"/>
    <w:multiLevelType w:val="multilevel"/>
    <w:tmpl w:val="704A0BD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744265F9"/>
    <w:multiLevelType w:val="multilevel"/>
    <w:tmpl w:val="744265F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8"/>
  </w:num>
  <w:num w:numId="3">
    <w:abstractNumId w:val="16"/>
  </w:num>
  <w:num w:numId="4">
    <w:abstractNumId w:val="4"/>
  </w:num>
  <w:num w:numId="5">
    <w:abstractNumId w:val="10"/>
  </w:num>
  <w:num w:numId="6">
    <w:abstractNumId w:val="14"/>
  </w:num>
  <w:num w:numId="7">
    <w:abstractNumId w:val="2"/>
  </w:num>
  <w:num w:numId="8">
    <w:abstractNumId w:val="1"/>
  </w:num>
  <w:num w:numId="9">
    <w:abstractNumId w:val="5"/>
  </w:num>
  <w:num w:numId="10">
    <w:abstractNumId w:val="3"/>
  </w:num>
  <w:num w:numId="11">
    <w:abstractNumId w:val="11"/>
  </w:num>
  <w:num w:numId="12">
    <w:abstractNumId w:val="15"/>
  </w:num>
  <w:num w:numId="13">
    <w:abstractNumId w:val="7"/>
  </w:num>
  <w:num w:numId="14">
    <w:abstractNumId w:val="9"/>
  </w:num>
  <w:num w:numId="15">
    <w:abstractNumId w:val="6"/>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hideGrammatical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MGQktzQ0tzSxMTQyUdpeDU4uLM/DyQAiPDWgCbXMenLQAAAA=="/>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1C2920"/>
    <w:rsid w:val="000005D0"/>
    <w:rsid w:val="00000608"/>
    <w:rsid w:val="00000E38"/>
    <w:rsid w:val="00000FED"/>
    <w:rsid w:val="000040B5"/>
    <w:rsid w:val="0000597A"/>
    <w:rsid w:val="00007043"/>
    <w:rsid w:val="00007D03"/>
    <w:rsid w:val="00010878"/>
    <w:rsid w:val="00010988"/>
    <w:rsid w:val="00011607"/>
    <w:rsid w:val="00013078"/>
    <w:rsid w:val="000133B9"/>
    <w:rsid w:val="00013E46"/>
    <w:rsid w:val="00014C5D"/>
    <w:rsid w:val="00016613"/>
    <w:rsid w:val="0001694E"/>
    <w:rsid w:val="00016EB2"/>
    <w:rsid w:val="00016FFD"/>
    <w:rsid w:val="0001746E"/>
    <w:rsid w:val="000174E8"/>
    <w:rsid w:val="00017D90"/>
    <w:rsid w:val="00017FEE"/>
    <w:rsid w:val="00020711"/>
    <w:rsid w:val="00021D2C"/>
    <w:rsid w:val="0002218D"/>
    <w:rsid w:val="0002272D"/>
    <w:rsid w:val="00022EF1"/>
    <w:rsid w:val="000261AB"/>
    <w:rsid w:val="00026A68"/>
    <w:rsid w:val="00026B03"/>
    <w:rsid w:val="00027027"/>
    <w:rsid w:val="00027F3C"/>
    <w:rsid w:val="0003051D"/>
    <w:rsid w:val="00030CBB"/>
    <w:rsid w:val="00030E86"/>
    <w:rsid w:val="00034A92"/>
    <w:rsid w:val="00036FFD"/>
    <w:rsid w:val="0003764F"/>
    <w:rsid w:val="00037D53"/>
    <w:rsid w:val="00040824"/>
    <w:rsid w:val="00041425"/>
    <w:rsid w:val="0004193B"/>
    <w:rsid w:val="00041B2A"/>
    <w:rsid w:val="000438F7"/>
    <w:rsid w:val="00043BCD"/>
    <w:rsid w:val="000441EB"/>
    <w:rsid w:val="0004679B"/>
    <w:rsid w:val="00046D58"/>
    <w:rsid w:val="000502E2"/>
    <w:rsid w:val="000513A0"/>
    <w:rsid w:val="00052F71"/>
    <w:rsid w:val="000553C1"/>
    <w:rsid w:val="000560BB"/>
    <w:rsid w:val="0005729F"/>
    <w:rsid w:val="00057A27"/>
    <w:rsid w:val="00057BD8"/>
    <w:rsid w:val="00061659"/>
    <w:rsid w:val="00062350"/>
    <w:rsid w:val="0006251A"/>
    <w:rsid w:val="00062E50"/>
    <w:rsid w:val="00065224"/>
    <w:rsid w:val="00065D3D"/>
    <w:rsid w:val="000660B1"/>
    <w:rsid w:val="0006751A"/>
    <w:rsid w:val="00067BBD"/>
    <w:rsid w:val="000702C9"/>
    <w:rsid w:val="0007032A"/>
    <w:rsid w:val="0007238B"/>
    <w:rsid w:val="00073794"/>
    <w:rsid w:val="00074A80"/>
    <w:rsid w:val="00081381"/>
    <w:rsid w:val="0008202D"/>
    <w:rsid w:val="000820D4"/>
    <w:rsid w:val="00082161"/>
    <w:rsid w:val="00082EA2"/>
    <w:rsid w:val="000838BC"/>
    <w:rsid w:val="00083C58"/>
    <w:rsid w:val="00083F5F"/>
    <w:rsid w:val="000846C3"/>
    <w:rsid w:val="00084D99"/>
    <w:rsid w:val="00085073"/>
    <w:rsid w:val="000859D5"/>
    <w:rsid w:val="00085AFB"/>
    <w:rsid w:val="00085D2D"/>
    <w:rsid w:val="00086353"/>
    <w:rsid w:val="00086647"/>
    <w:rsid w:val="00086D3B"/>
    <w:rsid w:val="00087E98"/>
    <w:rsid w:val="00090F39"/>
    <w:rsid w:val="00091117"/>
    <w:rsid w:val="0009197B"/>
    <w:rsid w:val="00091B1B"/>
    <w:rsid w:val="00092228"/>
    <w:rsid w:val="000940CD"/>
    <w:rsid w:val="000943B5"/>
    <w:rsid w:val="000957EE"/>
    <w:rsid w:val="000957F7"/>
    <w:rsid w:val="00095EBA"/>
    <w:rsid w:val="00096536"/>
    <w:rsid w:val="00096ECC"/>
    <w:rsid w:val="000971B5"/>
    <w:rsid w:val="00097EE1"/>
    <w:rsid w:val="000A0E0B"/>
    <w:rsid w:val="000A2544"/>
    <w:rsid w:val="000A5123"/>
    <w:rsid w:val="000A5F11"/>
    <w:rsid w:val="000A6087"/>
    <w:rsid w:val="000A6B82"/>
    <w:rsid w:val="000A6D31"/>
    <w:rsid w:val="000A743C"/>
    <w:rsid w:val="000B0B94"/>
    <w:rsid w:val="000B0F43"/>
    <w:rsid w:val="000B1728"/>
    <w:rsid w:val="000B2044"/>
    <w:rsid w:val="000B4424"/>
    <w:rsid w:val="000B45E4"/>
    <w:rsid w:val="000B4C30"/>
    <w:rsid w:val="000B58C7"/>
    <w:rsid w:val="000B5F73"/>
    <w:rsid w:val="000B66ED"/>
    <w:rsid w:val="000B7667"/>
    <w:rsid w:val="000C0F84"/>
    <w:rsid w:val="000C1596"/>
    <w:rsid w:val="000C21BE"/>
    <w:rsid w:val="000C267F"/>
    <w:rsid w:val="000C34F3"/>
    <w:rsid w:val="000C3CFC"/>
    <w:rsid w:val="000C4723"/>
    <w:rsid w:val="000C5828"/>
    <w:rsid w:val="000C5F5D"/>
    <w:rsid w:val="000C6853"/>
    <w:rsid w:val="000C7B64"/>
    <w:rsid w:val="000D1265"/>
    <w:rsid w:val="000D270E"/>
    <w:rsid w:val="000D297C"/>
    <w:rsid w:val="000D29B0"/>
    <w:rsid w:val="000D2DBF"/>
    <w:rsid w:val="000D417C"/>
    <w:rsid w:val="000D4A84"/>
    <w:rsid w:val="000D5E92"/>
    <w:rsid w:val="000D5F28"/>
    <w:rsid w:val="000D6146"/>
    <w:rsid w:val="000D6959"/>
    <w:rsid w:val="000D7796"/>
    <w:rsid w:val="000E038A"/>
    <w:rsid w:val="000E0453"/>
    <w:rsid w:val="000E0BBC"/>
    <w:rsid w:val="000E0ED2"/>
    <w:rsid w:val="000E2465"/>
    <w:rsid w:val="000E2FF0"/>
    <w:rsid w:val="000E34CA"/>
    <w:rsid w:val="000E3B5A"/>
    <w:rsid w:val="000E3E23"/>
    <w:rsid w:val="000E4DA3"/>
    <w:rsid w:val="000E4E40"/>
    <w:rsid w:val="000E5FFF"/>
    <w:rsid w:val="000E62AF"/>
    <w:rsid w:val="000E6C60"/>
    <w:rsid w:val="000E700D"/>
    <w:rsid w:val="000F0A03"/>
    <w:rsid w:val="000F0F38"/>
    <w:rsid w:val="000F1BCF"/>
    <w:rsid w:val="000F1D73"/>
    <w:rsid w:val="000F3665"/>
    <w:rsid w:val="000F4867"/>
    <w:rsid w:val="000F4ED9"/>
    <w:rsid w:val="000F724B"/>
    <w:rsid w:val="000F7E5E"/>
    <w:rsid w:val="00100090"/>
    <w:rsid w:val="00100D97"/>
    <w:rsid w:val="00101E83"/>
    <w:rsid w:val="00102782"/>
    <w:rsid w:val="00102B97"/>
    <w:rsid w:val="00102EF1"/>
    <w:rsid w:val="00103104"/>
    <w:rsid w:val="00103210"/>
    <w:rsid w:val="00103557"/>
    <w:rsid w:val="001039DD"/>
    <w:rsid w:val="00103D5A"/>
    <w:rsid w:val="001058C7"/>
    <w:rsid w:val="001068DB"/>
    <w:rsid w:val="00106F98"/>
    <w:rsid w:val="00107439"/>
    <w:rsid w:val="00107BC3"/>
    <w:rsid w:val="00110CAB"/>
    <w:rsid w:val="00111127"/>
    <w:rsid w:val="001116E6"/>
    <w:rsid w:val="00111785"/>
    <w:rsid w:val="00113E5D"/>
    <w:rsid w:val="00114912"/>
    <w:rsid w:val="00114E50"/>
    <w:rsid w:val="0011574C"/>
    <w:rsid w:val="001161BA"/>
    <w:rsid w:val="00117495"/>
    <w:rsid w:val="00117A46"/>
    <w:rsid w:val="00117DFB"/>
    <w:rsid w:val="00120358"/>
    <w:rsid w:val="00120CD2"/>
    <w:rsid w:val="0012117A"/>
    <w:rsid w:val="00121A29"/>
    <w:rsid w:val="001227BA"/>
    <w:rsid w:val="001236DB"/>
    <w:rsid w:val="001236DC"/>
    <w:rsid w:val="00123A2B"/>
    <w:rsid w:val="00123B35"/>
    <w:rsid w:val="0012432D"/>
    <w:rsid w:val="00124C5F"/>
    <w:rsid w:val="00125690"/>
    <w:rsid w:val="00126937"/>
    <w:rsid w:val="00127A16"/>
    <w:rsid w:val="00127AEE"/>
    <w:rsid w:val="0013089E"/>
    <w:rsid w:val="00132F4C"/>
    <w:rsid w:val="00135261"/>
    <w:rsid w:val="00135926"/>
    <w:rsid w:val="00135ED8"/>
    <w:rsid w:val="0013628C"/>
    <w:rsid w:val="00136877"/>
    <w:rsid w:val="00137864"/>
    <w:rsid w:val="00140260"/>
    <w:rsid w:val="00140C5A"/>
    <w:rsid w:val="00140F4D"/>
    <w:rsid w:val="001444B7"/>
    <w:rsid w:val="001452A0"/>
    <w:rsid w:val="001452B7"/>
    <w:rsid w:val="0014667B"/>
    <w:rsid w:val="00146A70"/>
    <w:rsid w:val="00146F7C"/>
    <w:rsid w:val="00147137"/>
    <w:rsid w:val="00147212"/>
    <w:rsid w:val="001472AD"/>
    <w:rsid w:val="001476C2"/>
    <w:rsid w:val="00152063"/>
    <w:rsid w:val="00152145"/>
    <w:rsid w:val="001524AC"/>
    <w:rsid w:val="00152DBB"/>
    <w:rsid w:val="0015436D"/>
    <w:rsid w:val="001547EC"/>
    <w:rsid w:val="00154981"/>
    <w:rsid w:val="00155301"/>
    <w:rsid w:val="00155B8D"/>
    <w:rsid w:val="0015615C"/>
    <w:rsid w:val="0015633D"/>
    <w:rsid w:val="00156655"/>
    <w:rsid w:val="00156E57"/>
    <w:rsid w:val="00157DAD"/>
    <w:rsid w:val="00157EDF"/>
    <w:rsid w:val="00160308"/>
    <w:rsid w:val="00160E40"/>
    <w:rsid w:val="0016166C"/>
    <w:rsid w:val="001627F6"/>
    <w:rsid w:val="00162A40"/>
    <w:rsid w:val="00162C11"/>
    <w:rsid w:val="00163F44"/>
    <w:rsid w:val="001650FD"/>
    <w:rsid w:val="0016578D"/>
    <w:rsid w:val="00165CE0"/>
    <w:rsid w:val="0016693F"/>
    <w:rsid w:val="00166A20"/>
    <w:rsid w:val="00166CB4"/>
    <w:rsid w:val="00167A26"/>
    <w:rsid w:val="00170C3D"/>
    <w:rsid w:val="001715CC"/>
    <w:rsid w:val="00171D94"/>
    <w:rsid w:val="0017201C"/>
    <w:rsid w:val="00172597"/>
    <w:rsid w:val="00173644"/>
    <w:rsid w:val="001738C0"/>
    <w:rsid w:val="00174595"/>
    <w:rsid w:val="0017680A"/>
    <w:rsid w:val="00176C69"/>
    <w:rsid w:val="001817A5"/>
    <w:rsid w:val="00183550"/>
    <w:rsid w:val="00183623"/>
    <w:rsid w:val="001838AD"/>
    <w:rsid w:val="00185822"/>
    <w:rsid w:val="00185926"/>
    <w:rsid w:val="0018660D"/>
    <w:rsid w:val="00186722"/>
    <w:rsid w:val="00190AB5"/>
    <w:rsid w:val="001911FC"/>
    <w:rsid w:val="00191808"/>
    <w:rsid w:val="00191A61"/>
    <w:rsid w:val="001935BB"/>
    <w:rsid w:val="00193760"/>
    <w:rsid w:val="00193A3B"/>
    <w:rsid w:val="00193FAC"/>
    <w:rsid w:val="00194308"/>
    <w:rsid w:val="00195D8A"/>
    <w:rsid w:val="001962CA"/>
    <w:rsid w:val="00196E14"/>
    <w:rsid w:val="001A1304"/>
    <w:rsid w:val="001A1808"/>
    <w:rsid w:val="001A330D"/>
    <w:rsid w:val="001A3A4D"/>
    <w:rsid w:val="001A3B3F"/>
    <w:rsid w:val="001A3FF1"/>
    <w:rsid w:val="001A4A30"/>
    <w:rsid w:val="001A51E5"/>
    <w:rsid w:val="001A56CE"/>
    <w:rsid w:val="001A5836"/>
    <w:rsid w:val="001A647F"/>
    <w:rsid w:val="001A67B8"/>
    <w:rsid w:val="001B10C6"/>
    <w:rsid w:val="001B16D1"/>
    <w:rsid w:val="001B19AD"/>
    <w:rsid w:val="001B1A42"/>
    <w:rsid w:val="001B1BB2"/>
    <w:rsid w:val="001B20FB"/>
    <w:rsid w:val="001B3575"/>
    <w:rsid w:val="001B3731"/>
    <w:rsid w:val="001B38DE"/>
    <w:rsid w:val="001B3EBE"/>
    <w:rsid w:val="001B4C20"/>
    <w:rsid w:val="001B5266"/>
    <w:rsid w:val="001B561F"/>
    <w:rsid w:val="001B7565"/>
    <w:rsid w:val="001C1FD6"/>
    <w:rsid w:val="001C2920"/>
    <w:rsid w:val="001C2985"/>
    <w:rsid w:val="001C300F"/>
    <w:rsid w:val="001C3B16"/>
    <w:rsid w:val="001C3B33"/>
    <w:rsid w:val="001C3D4A"/>
    <w:rsid w:val="001C4EF0"/>
    <w:rsid w:val="001C534D"/>
    <w:rsid w:val="001C5826"/>
    <w:rsid w:val="001C6A88"/>
    <w:rsid w:val="001C6E69"/>
    <w:rsid w:val="001C7195"/>
    <w:rsid w:val="001C79CE"/>
    <w:rsid w:val="001D08CA"/>
    <w:rsid w:val="001D0F20"/>
    <w:rsid w:val="001D202F"/>
    <w:rsid w:val="001D27FB"/>
    <w:rsid w:val="001D28BF"/>
    <w:rsid w:val="001D4048"/>
    <w:rsid w:val="001D4331"/>
    <w:rsid w:val="001D474E"/>
    <w:rsid w:val="001D4AFD"/>
    <w:rsid w:val="001D570C"/>
    <w:rsid w:val="001D6BDA"/>
    <w:rsid w:val="001D7BDE"/>
    <w:rsid w:val="001E1E51"/>
    <w:rsid w:val="001E22BD"/>
    <w:rsid w:val="001E2717"/>
    <w:rsid w:val="001E2DBD"/>
    <w:rsid w:val="001E43F0"/>
    <w:rsid w:val="001E4A48"/>
    <w:rsid w:val="001E4EB2"/>
    <w:rsid w:val="001E6917"/>
    <w:rsid w:val="001E6B2A"/>
    <w:rsid w:val="001E70A3"/>
    <w:rsid w:val="001E7258"/>
    <w:rsid w:val="001E72DB"/>
    <w:rsid w:val="001E7539"/>
    <w:rsid w:val="001E790D"/>
    <w:rsid w:val="001F01EC"/>
    <w:rsid w:val="001F0761"/>
    <w:rsid w:val="001F1CF2"/>
    <w:rsid w:val="001F4734"/>
    <w:rsid w:val="001F476D"/>
    <w:rsid w:val="001F57AD"/>
    <w:rsid w:val="001F5882"/>
    <w:rsid w:val="001F6E23"/>
    <w:rsid w:val="001F7807"/>
    <w:rsid w:val="001F7D86"/>
    <w:rsid w:val="002006F9"/>
    <w:rsid w:val="00200C32"/>
    <w:rsid w:val="00201889"/>
    <w:rsid w:val="00201EA0"/>
    <w:rsid w:val="00202384"/>
    <w:rsid w:val="00202F12"/>
    <w:rsid w:val="002035A6"/>
    <w:rsid w:val="00203B8A"/>
    <w:rsid w:val="0020450A"/>
    <w:rsid w:val="00204B57"/>
    <w:rsid w:val="00205336"/>
    <w:rsid w:val="00206B02"/>
    <w:rsid w:val="002075DC"/>
    <w:rsid w:val="00207D5F"/>
    <w:rsid w:val="00210831"/>
    <w:rsid w:val="0021187A"/>
    <w:rsid w:val="00211E2B"/>
    <w:rsid w:val="0021238F"/>
    <w:rsid w:val="00214108"/>
    <w:rsid w:val="00214222"/>
    <w:rsid w:val="00214639"/>
    <w:rsid w:val="00215DA7"/>
    <w:rsid w:val="00216820"/>
    <w:rsid w:val="002169F5"/>
    <w:rsid w:val="00217A45"/>
    <w:rsid w:val="00221255"/>
    <w:rsid w:val="002215F8"/>
    <w:rsid w:val="0022292C"/>
    <w:rsid w:val="002230A7"/>
    <w:rsid w:val="002239D0"/>
    <w:rsid w:val="00227FD5"/>
    <w:rsid w:val="0023053E"/>
    <w:rsid w:val="00230EE2"/>
    <w:rsid w:val="002337E1"/>
    <w:rsid w:val="00234227"/>
    <w:rsid w:val="002344CB"/>
    <w:rsid w:val="002345E5"/>
    <w:rsid w:val="00236FB0"/>
    <w:rsid w:val="00240109"/>
    <w:rsid w:val="00240609"/>
    <w:rsid w:val="00240665"/>
    <w:rsid w:val="002407CD"/>
    <w:rsid w:val="0024086E"/>
    <w:rsid w:val="00241656"/>
    <w:rsid w:val="0024183E"/>
    <w:rsid w:val="002429AE"/>
    <w:rsid w:val="00242EA4"/>
    <w:rsid w:val="00244097"/>
    <w:rsid w:val="00244E22"/>
    <w:rsid w:val="00246779"/>
    <w:rsid w:val="00246DD7"/>
    <w:rsid w:val="0024707A"/>
    <w:rsid w:val="00250258"/>
    <w:rsid w:val="00250828"/>
    <w:rsid w:val="00252119"/>
    <w:rsid w:val="002522FB"/>
    <w:rsid w:val="00252A15"/>
    <w:rsid w:val="00252A81"/>
    <w:rsid w:val="00252AD5"/>
    <w:rsid w:val="00252FFF"/>
    <w:rsid w:val="002530AD"/>
    <w:rsid w:val="00253186"/>
    <w:rsid w:val="00254054"/>
    <w:rsid w:val="0025407D"/>
    <w:rsid w:val="00257C54"/>
    <w:rsid w:val="00261275"/>
    <w:rsid w:val="002624E1"/>
    <w:rsid w:val="002629F3"/>
    <w:rsid w:val="00263D28"/>
    <w:rsid w:val="00266800"/>
    <w:rsid w:val="00267585"/>
    <w:rsid w:val="002675FF"/>
    <w:rsid w:val="002700EE"/>
    <w:rsid w:val="00270277"/>
    <w:rsid w:val="002718DC"/>
    <w:rsid w:val="00272259"/>
    <w:rsid w:val="00272C9D"/>
    <w:rsid w:val="00273850"/>
    <w:rsid w:val="00274037"/>
    <w:rsid w:val="00274BD8"/>
    <w:rsid w:val="00274C57"/>
    <w:rsid w:val="00274D63"/>
    <w:rsid w:val="00275795"/>
    <w:rsid w:val="00276276"/>
    <w:rsid w:val="00277E9D"/>
    <w:rsid w:val="002806FB"/>
    <w:rsid w:val="00281057"/>
    <w:rsid w:val="002816E3"/>
    <w:rsid w:val="002822A1"/>
    <w:rsid w:val="002828A2"/>
    <w:rsid w:val="00282A25"/>
    <w:rsid w:val="00282B8F"/>
    <w:rsid w:val="002839A4"/>
    <w:rsid w:val="0028733D"/>
    <w:rsid w:val="002873C0"/>
    <w:rsid w:val="0028786E"/>
    <w:rsid w:val="002878A1"/>
    <w:rsid w:val="00287FF0"/>
    <w:rsid w:val="00290253"/>
    <w:rsid w:val="00291073"/>
    <w:rsid w:val="00293661"/>
    <w:rsid w:val="00293CDF"/>
    <w:rsid w:val="00295226"/>
    <w:rsid w:val="00295FE9"/>
    <w:rsid w:val="002A025B"/>
    <w:rsid w:val="002A16AE"/>
    <w:rsid w:val="002A30E0"/>
    <w:rsid w:val="002A35E0"/>
    <w:rsid w:val="002A3A5F"/>
    <w:rsid w:val="002A514B"/>
    <w:rsid w:val="002A5151"/>
    <w:rsid w:val="002A57DD"/>
    <w:rsid w:val="002A5923"/>
    <w:rsid w:val="002A65F6"/>
    <w:rsid w:val="002A6AD1"/>
    <w:rsid w:val="002A6B9D"/>
    <w:rsid w:val="002B1740"/>
    <w:rsid w:val="002B1A48"/>
    <w:rsid w:val="002B2068"/>
    <w:rsid w:val="002B20B8"/>
    <w:rsid w:val="002B2E44"/>
    <w:rsid w:val="002B37B2"/>
    <w:rsid w:val="002B47FB"/>
    <w:rsid w:val="002B493B"/>
    <w:rsid w:val="002B4A0D"/>
    <w:rsid w:val="002B5AFC"/>
    <w:rsid w:val="002B694F"/>
    <w:rsid w:val="002B7AF7"/>
    <w:rsid w:val="002C119B"/>
    <w:rsid w:val="002C1643"/>
    <w:rsid w:val="002C2B80"/>
    <w:rsid w:val="002C45BF"/>
    <w:rsid w:val="002C52B0"/>
    <w:rsid w:val="002C54D1"/>
    <w:rsid w:val="002C5690"/>
    <w:rsid w:val="002C5835"/>
    <w:rsid w:val="002C60C4"/>
    <w:rsid w:val="002C6CDE"/>
    <w:rsid w:val="002C7353"/>
    <w:rsid w:val="002C76C2"/>
    <w:rsid w:val="002C7B9D"/>
    <w:rsid w:val="002D0B86"/>
    <w:rsid w:val="002D1035"/>
    <w:rsid w:val="002D104B"/>
    <w:rsid w:val="002D2E78"/>
    <w:rsid w:val="002D3663"/>
    <w:rsid w:val="002D38AE"/>
    <w:rsid w:val="002D4D8C"/>
    <w:rsid w:val="002D5872"/>
    <w:rsid w:val="002E0C7D"/>
    <w:rsid w:val="002E2026"/>
    <w:rsid w:val="002E25FE"/>
    <w:rsid w:val="002E2705"/>
    <w:rsid w:val="002E2B28"/>
    <w:rsid w:val="002E32D1"/>
    <w:rsid w:val="002E3B6E"/>
    <w:rsid w:val="002E3F57"/>
    <w:rsid w:val="002E6433"/>
    <w:rsid w:val="002E66B2"/>
    <w:rsid w:val="002E6B83"/>
    <w:rsid w:val="002E6F2D"/>
    <w:rsid w:val="002E7E0D"/>
    <w:rsid w:val="002F00F5"/>
    <w:rsid w:val="002F04DF"/>
    <w:rsid w:val="002F0564"/>
    <w:rsid w:val="002F22B0"/>
    <w:rsid w:val="002F2393"/>
    <w:rsid w:val="002F2BFA"/>
    <w:rsid w:val="002F2C3D"/>
    <w:rsid w:val="002F2E02"/>
    <w:rsid w:val="002F38FB"/>
    <w:rsid w:val="002F43CC"/>
    <w:rsid w:val="002F4468"/>
    <w:rsid w:val="002F4D68"/>
    <w:rsid w:val="002F4F87"/>
    <w:rsid w:val="002F560B"/>
    <w:rsid w:val="002F5BBC"/>
    <w:rsid w:val="002F5BC1"/>
    <w:rsid w:val="002F5E55"/>
    <w:rsid w:val="002F67F2"/>
    <w:rsid w:val="002F6EFC"/>
    <w:rsid w:val="00300134"/>
    <w:rsid w:val="00300219"/>
    <w:rsid w:val="003003CC"/>
    <w:rsid w:val="00300B5E"/>
    <w:rsid w:val="003016DA"/>
    <w:rsid w:val="00301ED4"/>
    <w:rsid w:val="00302033"/>
    <w:rsid w:val="0030289C"/>
    <w:rsid w:val="003030E9"/>
    <w:rsid w:val="00303302"/>
    <w:rsid w:val="00303B13"/>
    <w:rsid w:val="00304659"/>
    <w:rsid w:val="00304B77"/>
    <w:rsid w:val="00305420"/>
    <w:rsid w:val="0030674E"/>
    <w:rsid w:val="00310CE2"/>
    <w:rsid w:val="003113A6"/>
    <w:rsid w:val="00311803"/>
    <w:rsid w:val="00311AE2"/>
    <w:rsid w:val="00312E6A"/>
    <w:rsid w:val="0031338E"/>
    <w:rsid w:val="00314B8F"/>
    <w:rsid w:val="00314DB3"/>
    <w:rsid w:val="003151CC"/>
    <w:rsid w:val="00316836"/>
    <w:rsid w:val="00316F5E"/>
    <w:rsid w:val="00317ABC"/>
    <w:rsid w:val="00317ADF"/>
    <w:rsid w:val="00317C6D"/>
    <w:rsid w:val="00317DE5"/>
    <w:rsid w:val="00320A3F"/>
    <w:rsid w:val="00320E81"/>
    <w:rsid w:val="00321322"/>
    <w:rsid w:val="00321912"/>
    <w:rsid w:val="003226AB"/>
    <w:rsid w:val="00323567"/>
    <w:rsid w:val="00323DE7"/>
    <w:rsid w:val="003259AC"/>
    <w:rsid w:val="003267D9"/>
    <w:rsid w:val="00327671"/>
    <w:rsid w:val="003317C0"/>
    <w:rsid w:val="00331B60"/>
    <w:rsid w:val="00333512"/>
    <w:rsid w:val="0033364A"/>
    <w:rsid w:val="003336BC"/>
    <w:rsid w:val="0033383F"/>
    <w:rsid w:val="00333BB9"/>
    <w:rsid w:val="00334D0E"/>
    <w:rsid w:val="003363F1"/>
    <w:rsid w:val="0033776F"/>
    <w:rsid w:val="003401D1"/>
    <w:rsid w:val="0034066E"/>
    <w:rsid w:val="003407DA"/>
    <w:rsid w:val="00344181"/>
    <w:rsid w:val="003454AB"/>
    <w:rsid w:val="0034646D"/>
    <w:rsid w:val="003469A9"/>
    <w:rsid w:val="00346FEE"/>
    <w:rsid w:val="0035037B"/>
    <w:rsid w:val="0035146B"/>
    <w:rsid w:val="003517B3"/>
    <w:rsid w:val="00352B9E"/>
    <w:rsid w:val="00352BBF"/>
    <w:rsid w:val="00353BD3"/>
    <w:rsid w:val="003565E7"/>
    <w:rsid w:val="003574EB"/>
    <w:rsid w:val="00360737"/>
    <w:rsid w:val="00360875"/>
    <w:rsid w:val="003608E5"/>
    <w:rsid w:val="003609B9"/>
    <w:rsid w:val="00360CAC"/>
    <w:rsid w:val="003610DC"/>
    <w:rsid w:val="00361C04"/>
    <w:rsid w:val="00362040"/>
    <w:rsid w:val="003637CE"/>
    <w:rsid w:val="00363880"/>
    <w:rsid w:val="0036407D"/>
    <w:rsid w:val="00364741"/>
    <w:rsid w:val="00364E41"/>
    <w:rsid w:val="00365107"/>
    <w:rsid w:val="003657F6"/>
    <w:rsid w:val="00365B4B"/>
    <w:rsid w:val="00366E38"/>
    <w:rsid w:val="0036722F"/>
    <w:rsid w:val="0036766A"/>
    <w:rsid w:val="00367AFF"/>
    <w:rsid w:val="00367E4A"/>
    <w:rsid w:val="003700FA"/>
    <w:rsid w:val="0037076E"/>
    <w:rsid w:val="00370E9B"/>
    <w:rsid w:val="003714D7"/>
    <w:rsid w:val="00372439"/>
    <w:rsid w:val="0037249F"/>
    <w:rsid w:val="0037311C"/>
    <w:rsid w:val="003735EB"/>
    <w:rsid w:val="00373D60"/>
    <w:rsid w:val="00374E87"/>
    <w:rsid w:val="0037520B"/>
    <w:rsid w:val="003754FF"/>
    <w:rsid w:val="0037561B"/>
    <w:rsid w:val="00375F48"/>
    <w:rsid w:val="003800A4"/>
    <w:rsid w:val="003804A0"/>
    <w:rsid w:val="00380A71"/>
    <w:rsid w:val="00380D6E"/>
    <w:rsid w:val="00380F4B"/>
    <w:rsid w:val="00381049"/>
    <w:rsid w:val="003820AA"/>
    <w:rsid w:val="00384013"/>
    <w:rsid w:val="0038526E"/>
    <w:rsid w:val="003870BE"/>
    <w:rsid w:val="00387809"/>
    <w:rsid w:val="00390279"/>
    <w:rsid w:val="00390F4A"/>
    <w:rsid w:val="003912E7"/>
    <w:rsid w:val="0039142E"/>
    <w:rsid w:val="00391717"/>
    <w:rsid w:val="00391A6A"/>
    <w:rsid w:val="00391D91"/>
    <w:rsid w:val="0039206F"/>
    <w:rsid w:val="00392566"/>
    <w:rsid w:val="003926F7"/>
    <w:rsid w:val="003932E1"/>
    <w:rsid w:val="003934F0"/>
    <w:rsid w:val="00393E4A"/>
    <w:rsid w:val="003942D7"/>
    <w:rsid w:val="00394983"/>
    <w:rsid w:val="00394B49"/>
    <w:rsid w:val="00394E8C"/>
    <w:rsid w:val="0039519B"/>
    <w:rsid w:val="0039648A"/>
    <w:rsid w:val="00396608"/>
    <w:rsid w:val="003A1D99"/>
    <w:rsid w:val="003A3CDC"/>
    <w:rsid w:val="003A3D04"/>
    <w:rsid w:val="003A41B7"/>
    <w:rsid w:val="003A7734"/>
    <w:rsid w:val="003A7B7F"/>
    <w:rsid w:val="003A7BDF"/>
    <w:rsid w:val="003A7ECD"/>
    <w:rsid w:val="003B158E"/>
    <w:rsid w:val="003B2C70"/>
    <w:rsid w:val="003B4491"/>
    <w:rsid w:val="003B44C2"/>
    <w:rsid w:val="003B4753"/>
    <w:rsid w:val="003B56D3"/>
    <w:rsid w:val="003B5A6B"/>
    <w:rsid w:val="003B6E27"/>
    <w:rsid w:val="003B7001"/>
    <w:rsid w:val="003B7648"/>
    <w:rsid w:val="003B7BAB"/>
    <w:rsid w:val="003C0B49"/>
    <w:rsid w:val="003C1E03"/>
    <w:rsid w:val="003C236E"/>
    <w:rsid w:val="003C23DF"/>
    <w:rsid w:val="003C2882"/>
    <w:rsid w:val="003C342B"/>
    <w:rsid w:val="003C3648"/>
    <w:rsid w:val="003C3C0B"/>
    <w:rsid w:val="003C57D1"/>
    <w:rsid w:val="003C5948"/>
    <w:rsid w:val="003C5FD1"/>
    <w:rsid w:val="003C690E"/>
    <w:rsid w:val="003C710E"/>
    <w:rsid w:val="003C7A22"/>
    <w:rsid w:val="003C7C01"/>
    <w:rsid w:val="003D03F0"/>
    <w:rsid w:val="003D07FC"/>
    <w:rsid w:val="003D163B"/>
    <w:rsid w:val="003D22BD"/>
    <w:rsid w:val="003D319A"/>
    <w:rsid w:val="003D382C"/>
    <w:rsid w:val="003D45B4"/>
    <w:rsid w:val="003D6862"/>
    <w:rsid w:val="003D6E3C"/>
    <w:rsid w:val="003D7630"/>
    <w:rsid w:val="003D76FB"/>
    <w:rsid w:val="003D7B55"/>
    <w:rsid w:val="003E03E8"/>
    <w:rsid w:val="003E0DB4"/>
    <w:rsid w:val="003E173F"/>
    <w:rsid w:val="003E3930"/>
    <w:rsid w:val="003E3E0E"/>
    <w:rsid w:val="003E3F3C"/>
    <w:rsid w:val="003E44C6"/>
    <w:rsid w:val="003E4979"/>
    <w:rsid w:val="003E4AED"/>
    <w:rsid w:val="003E507E"/>
    <w:rsid w:val="003E7555"/>
    <w:rsid w:val="003F058A"/>
    <w:rsid w:val="003F0A88"/>
    <w:rsid w:val="003F0C7F"/>
    <w:rsid w:val="003F11A3"/>
    <w:rsid w:val="003F17AA"/>
    <w:rsid w:val="003F1E17"/>
    <w:rsid w:val="003F204B"/>
    <w:rsid w:val="003F3690"/>
    <w:rsid w:val="003F3C0E"/>
    <w:rsid w:val="003F6622"/>
    <w:rsid w:val="003F6E8D"/>
    <w:rsid w:val="003F7679"/>
    <w:rsid w:val="003F7E33"/>
    <w:rsid w:val="004009C3"/>
    <w:rsid w:val="004020F0"/>
    <w:rsid w:val="0040292F"/>
    <w:rsid w:val="00402E2D"/>
    <w:rsid w:val="004037FA"/>
    <w:rsid w:val="00404797"/>
    <w:rsid w:val="004049AC"/>
    <w:rsid w:val="00404E68"/>
    <w:rsid w:val="00404FA3"/>
    <w:rsid w:val="004059DF"/>
    <w:rsid w:val="00405C0D"/>
    <w:rsid w:val="00405C1E"/>
    <w:rsid w:val="004060B2"/>
    <w:rsid w:val="0040779F"/>
    <w:rsid w:val="00407C82"/>
    <w:rsid w:val="004117CB"/>
    <w:rsid w:val="0041255B"/>
    <w:rsid w:val="004130BB"/>
    <w:rsid w:val="00413B1E"/>
    <w:rsid w:val="004142FF"/>
    <w:rsid w:val="004143F1"/>
    <w:rsid w:val="00414944"/>
    <w:rsid w:val="004156A7"/>
    <w:rsid w:val="0041593E"/>
    <w:rsid w:val="00416062"/>
    <w:rsid w:val="00416068"/>
    <w:rsid w:val="004205AC"/>
    <w:rsid w:val="00420A68"/>
    <w:rsid w:val="00421268"/>
    <w:rsid w:val="004214B7"/>
    <w:rsid w:val="004224BC"/>
    <w:rsid w:val="004228AF"/>
    <w:rsid w:val="00422AF6"/>
    <w:rsid w:val="00422DBF"/>
    <w:rsid w:val="00424161"/>
    <w:rsid w:val="00424E39"/>
    <w:rsid w:val="0042608B"/>
    <w:rsid w:val="004260B8"/>
    <w:rsid w:val="00426492"/>
    <w:rsid w:val="00426641"/>
    <w:rsid w:val="004272C8"/>
    <w:rsid w:val="004275CB"/>
    <w:rsid w:val="004276D7"/>
    <w:rsid w:val="00427764"/>
    <w:rsid w:val="0043130C"/>
    <w:rsid w:val="00431C15"/>
    <w:rsid w:val="00434FB1"/>
    <w:rsid w:val="0043614D"/>
    <w:rsid w:val="00436BD7"/>
    <w:rsid w:val="00437620"/>
    <w:rsid w:val="00437ABD"/>
    <w:rsid w:val="00440A54"/>
    <w:rsid w:val="00445BB2"/>
    <w:rsid w:val="00445C1F"/>
    <w:rsid w:val="00445EA0"/>
    <w:rsid w:val="00446631"/>
    <w:rsid w:val="00447137"/>
    <w:rsid w:val="004505D4"/>
    <w:rsid w:val="00450881"/>
    <w:rsid w:val="00450A7D"/>
    <w:rsid w:val="00450C54"/>
    <w:rsid w:val="00450CDF"/>
    <w:rsid w:val="00452F47"/>
    <w:rsid w:val="0045308D"/>
    <w:rsid w:val="00453613"/>
    <w:rsid w:val="00455839"/>
    <w:rsid w:val="00456619"/>
    <w:rsid w:val="004573F2"/>
    <w:rsid w:val="004575FC"/>
    <w:rsid w:val="00457674"/>
    <w:rsid w:val="0045788C"/>
    <w:rsid w:val="004600CB"/>
    <w:rsid w:val="00461127"/>
    <w:rsid w:val="004612BC"/>
    <w:rsid w:val="004612DB"/>
    <w:rsid w:val="00461C79"/>
    <w:rsid w:val="0046254A"/>
    <w:rsid w:val="00462A62"/>
    <w:rsid w:val="00463368"/>
    <w:rsid w:val="004634D9"/>
    <w:rsid w:val="00463D18"/>
    <w:rsid w:val="004642C7"/>
    <w:rsid w:val="0046457B"/>
    <w:rsid w:val="00464597"/>
    <w:rsid w:val="0046466C"/>
    <w:rsid w:val="00464D3C"/>
    <w:rsid w:val="00465D05"/>
    <w:rsid w:val="004669F0"/>
    <w:rsid w:val="00467551"/>
    <w:rsid w:val="0047154D"/>
    <w:rsid w:val="004724B2"/>
    <w:rsid w:val="00473870"/>
    <w:rsid w:val="00473A71"/>
    <w:rsid w:val="004744A1"/>
    <w:rsid w:val="004749DB"/>
    <w:rsid w:val="00474A92"/>
    <w:rsid w:val="00474F9E"/>
    <w:rsid w:val="004752F3"/>
    <w:rsid w:val="00475C50"/>
    <w:rsid w:val="004768E5"/>
    <w:rsid w:val="0048166A"/>
    <w:rsid w:val="00481DBE"/>
    <w:rsid w:val="004820C8"/>
    <w:rsid w:val="004822BD"/>
    <w:rsid w:val="00484150"/>
    <w:rsid w:val="0048447D"/>
    <w:rsid w:val="004852B8"/>
    <w:rsid w:val="0048579E"/>
    <w:rsid w:val="004868BB"/>
    <w:rsid w:val="004878AA"/>
    <w:rsid w:val="00490001"/>
    <w:rsid w:val="00491219"/>
    <w:rsid w:val="00491253"/>
    <w:rsid w:val="00491260"/>
    <w:rsid w:val="00491EB2"/>
    <w:rsid w:val="00492686"/>
    <w:rsid w:val="00492CD4"/>
    <w:rsid w:val="0049390C"/>
    <w:rsid w:val="00493EE7"/>
    <w:rsid w:val="0049419B"/>
    <w:rsid w:val="00495639"/>
    <w:rsid w:val="004966B0"/>
    <w:rsid w:val="004968B2"/>
    <w:rsid w:val="00496CF2"/>
    <w:rsid w:val="00497099"/>
    <w:rsid w:val="00497807"/>
    <w:rsid w:val="00497C55"/>
    <w:rsid w:val="00497E8F"/>
    <w:rsid w:val="004A022F"/>
    <w:rsid w:val="004A0343"/>
    <w:rsid w:val="004A134F"/>
    <w:rsid w:val="004A21C7"/>
    <w:rsid w:val="004A26F4"/>
    <w:rsid w:val="004A29BA"/>
    <w:rsid w:val="004A3491"/>
    <w:rsid w:val="004A4EB7"/>
    <w:rsid w:val="004A54AF"/>
    <w:rsid w:val="004A5B65"/>
    <w:rsid w:val="004A6A06"/>
    <w:rsid w:val="004A6EE5"/>
    <w:rsid w:val="004B0071"/>
    <w:rsid w:val="004B01B1"/>
    <w:rsid w:val="004B055C"/>
    <w:rsid w:val="004B0E54"/>
    <w:rsid w:val="004B36FB"/>
    <w:rsid w:val="004B3C0D"/>
    <w:rsid w:val="004B5787"/>
    <w:rsid w:val="004C1A71"/>
    <w:rsid w:val="004C1FF1"/>
    <w:rsid w:val="004C23FB"/>
    <w:rsid w:val="004C2548"/>
    <w:rsid w:val="004C2678"/>
    <w:rsid w:val="004C2BB4"/>
    <w:rsid w:val="004C2BC7"/>
    <w:rsid w:val="004C38DA"/>
    <w:rsid w:val="004C5C07"/>
    <w:rsid w:val="004C744D"/>
    <w:rsid w:val="004C790A"/>
    <w:rsid w:val="004D07E2"/>
    <w:rsid w:val="004D10B7"/>
    <w:rsid w:val="004D1223"/>
    <w:rsid w:val="004D1321"/>
    <w:rsid w:val="004D15D7"/>
    <w:rsid w:val="004D17BB"/>
    <w:rsid w:val="004D387D"/>
    <w:rsid w:val="004D61B0"/>
    <w:rsid w:val="004D629B"/>
    <w:rsid w:val="004D7112"/>
    <w:rsid w:val="004D71E0"/>
    <w:rsid w:val="004D783A"/>
    <w:rsid w:val="004E026D"/>
    <w:rsid w:val="004E0805"/>
    <w:rsid w:val="004E0B8A"/>
    <w:rsid w:val="004E1B17"/>
    <w:rsid w:val="004E1C3C"/>
    <w:rsid w:val="004E21AF"/>
    <w:rsid w:val="004E330B"/>
    <w:rsid w:val="004E58EC"/>
    <w:rsid w:val="004E5956"/>
    <w:rsid w:val="004E64CB"/>
    <w:rsid w:val="004E6A3C"/>
    <w:rsid w:val="004E6B84"/>
    <w:rsid w:val="004E6FE1"/>
    <w:rsid w:val="004E75D5"/>
    <w:rsid w:val="004F0533"/>
    <w:rsid w:val="004F3689"/>
    <w:rsid w:val="004F37F0"/>
    <w:rsid w:val="004F4686"/>
    <w:rsid w:val="004F53D5"/>
    <w:rsid w:val="004F5703"/>
    <w:rsid w:val="004F5C01"/>
    <w:rsid w:val="004F6A63"/>
    <w:rsid w:val="004F7819"/>
    <w:rsid w:val="00500F36"/>
    <w:rsid w:val="0050126F"/>
    <w:rsid w:val="00502477"/>
    <w:rsid w:val="00503E34"/>
    <w:rsid w:val="00503EC1"/>
    <w:rsid w:val="0050549C"/>
    <w:rsid w:val="00505A17"/>
    <w:rsid w:val="00505AD1"/>
    <w:rsid w:val="00506076"/>
    <w:rsid w:val="0050704F"/>
    <w:rsid w:val="0051005C"/>
    <w:rsid w:val="00510D8C"/>
    <w:rsid w:val="00511532"/>
    <w:rsid w:val="00512D15"/>
    <w:rsid w:val="00512D8E"/>
    <w:rsid w:val="00513437"/>
    <w:rsid w:val="00513EEC"/>
    <w:rsid w:val="00514A99"/>
    <w:rsid w:val="005176BC"/>
    <w:rsid w:val="00520E06"/>
    <w:rsid w:val="00521410"/>
    <w:rsid w:val="005216D0"/>
    <w:rsid w:val="00523952"/>
    <w:rsid w:val="00523B22"/>
    <w:rsid w:val="005259C8"/>
    <w:rsid w:val="00525AF2"/>
    <w:rsid w:val="005263FF"/>
    <w:rsid w:val="00527D7A"/>
    <w:rsid w:val="0053059D"/>
    <w:rsid w:val="00532BB2"/>
    <w:rsid w:val="00532CD1"/>
    <w:rsid w:val="00533B7A"/>
    <w:rsid w:val="00534EAE"/>
    <w:rsid w:val="005357A4"/>
    <w:rsid w:val="00535DAE"/>
    <w:rsid w:val="00536B66"/>
    <w:rsid w:val="0053791B"/>
    <w:rsid w:val="005402C3"/>
    <w:rsid w:val="00540C36"/>
    <w:rsid w:val="005417D9"/>
    <w:rsid w:val="00543B0B"/>
    <w:rsid w:val="00546560"/>
    <w:rsid w:val="00546F90"/>
    <w:rsid w:val="00547EDC"/>
    <w:rsid w:val="0055079B"/>
    <w:rsid w:val="00551067"/>
    <w:rsid w:val="0055234D"/>
    <w:rsid w:val="005527E4"/>
    <w:rsid w:val="00552C96"/>
    <w:rsid w:val="005534B8"/>
    <w:rsid w:val="00553A74"/>
    <w:rsid w:val="00554965"/>
    <w:rsid w:val="005559B6"/>
    <w:rsid w:val="00555E65"/>
    <w:rsid w:val="00556681"/>
    <w:rsid w:val="00556EC8"/>
    <w:rsid w:val="00560033"/>
    <w:rsid w:val="0056148C"/>
    <w:rsid w:val="00561AA5"/>
    <w:rsid w:val="00561BCB"/>
    <w:rsid w:val="0056224E"/>
    <w:rsid w:val="0056287E"/>
    <w:rsid w:val="00562B91"/>
    <w:rsid w:val="00565AB7"/>
    <w:rsid w:val="00566508"/>
    <w:rsid w:val="0056705C"/>
    <w:rsid w:val="00571208"/>
    <w:rsid w:val="005712B1"/>
    <w:rsid w:val="005718B0"/>
    <w:rsid w:val="00571C86"/>
    <w:rsid w:val="0057370E"/>
    <w:rsid w:val="00573FE0"/>
    <w:rsid w:val="00574852"/>
    <w:rsid w:val="005756FA"/>
    <w:rsid w:val="00576D0C"/>
    <w:rsid w:val="00577275"/>
    <w:rsid w:val="00577328"/>
    <w:rsid w:val="005806B1"/>
    <w:rsid w:val="00582297"/>
    <w:rsid w:val="00583647"/>
    <w:rsid w:val="005839AF"/>
    <w:rsid w:val="005848C3"/>
    <w:rsid w:val="00584DAC"/>
    <w:rsid w:val="00586EEC"/>
    <w:rsid w:val="0058749C"/>
    <w:rsid w:val="00587571"/>
    <w:rsid w:val="005875C9"/>
    <w:rsid w:val="00587D03"/>
    <w:rsid w:val="00590671"/>
    <w:rsid w:val="005927BC"/>
    <w:rsid w:val="00592E4F"/>
    <w:rsid w:val="005935F8"/>
    <w:rsid w:val="00593827"/>
    <w:rsid w:val="00593E15"/>
    <w:rsid w:val="00593EDB"/>
    <w:rsid w:val="0059469E"/>
    <w:rsid w:val="00594B9B"/>
    <w:rsid w:val="00594C61"/>
    <w:rsid w:val="00595983"/>
    <w:rsid w:val="00597152"/>
    <w:rsid w:val="005973DD"/>
    <w:rsid w:val="00597BA5"/>
    <w:rsid w:val="005A160F"/>
    <w:rsid w:val="005A18F9"/>
    <w:rsid w:val="005A196B"/>
    <w:rsid w:val="005A2447"/>
    <w:rsid w:val="005A25E2"/>
    <w:rsid w:val="005A2756"/>
    <w:rsid w:val="005A304D"/>
    <w:rsid w:val="005A476E"/>
    <w:rsid w:val="005A479C"/>
    <w:rsid w:val="005A4998"/>
    <w:rsid w:val="005A4E7C"/>
    <w:rsid w:val="005A5077"/>
    <w:rsid w:val="005A71E0"/>
    <w:rsid w:val="005A7A60"/>
    <w:rsid w:val="005A7D01"/>
    <w:rsid w:val="005B0B0A"/>
    <w:rsid w:val="005B0CEC"/>
    <w:rsid w:val="005B1164"/>
    <w:rsid w:val="005B1C35"/>
    <w:rsid w:val="005B2705"/>
    <w:rsid w:val="005B2761"/>
    <w:rsid w:val="005B28DD"/>
    <w:rsid w:val="005B2F26"/>
    <w:rsid w:val="005B365C"/>
    <w:rsid w:val="005B3D09"/>
    <w:rsid w:val="005B3EF7"/>
    <w:rsid w:val="005B4762"/>
    <w:rsid w:val="005B4781"/>
    <w:rsid w:val="005B4F04"/>
    <w:rsid w:val="005B592C"/>
    <w:rsid w:val="005B5B48"/>
    <w:rsid w:val="005B5C91"/>
    <w:rsid w:val="005B5D79"/>
    <w:rsid w:val="005B6681"/>
    <w:rsid w:val="005B6C85"/>
    <w:rsid w:val="005B6CA8"/>
    <w:rsid w:val="005B7636"/>
    <w:rsid w:val="005B778C"/>
    <w:rsid w:val="005B7C13"/>
    <w:rsid w:val="005C1270"/>
    <w:rsid w:val="005C18BB"/>
    <w:rsid w:val="005C26D4"/>
    <w:rsid w:val="005C3217"/>
    <w:rsid w:val="005C3A9D"/>
    <w:rsid w:val="005C3D4B"/>
    <w:rsid w:val="005C5862"/>
    <w:rsid w:val="005C6512"/>
    <w:rsid w:val="005C6705"/>
    <w:rsid w:val="005C6E62"/>
    <w:rsid w:val="005C7054"/>
    <w:rsid w:val="005C7072"/>
    <w:rsid w:val="005C7EDE"/>
    <w:rsid w:val="005D00AB"/>
    <w:rsid w:val="005D04EF"/>
    <w:rsid w:val="005D18BB"/>
    <w:rsid w:val="005D1BE5"/>
    <w:rsid w:val="005D3703"/>
    <w:rsid w:val="005D3DBC"/>
    <w:rsid w:val="005D4879"/>
    <w:rsid w:val="005D5402"/>
    <w:rsid w:val="005D575E"/>
    <w:rsid w:val="005D5DA6"/>
    <w:rsid w:val="005D62E1"/>
    <w:rsid w:val="005D66ED"/>
    <w:rsid w:val="005D762C"/>
    <w:rsid w:val="005D7757"/>
    <w:rsid w:val="005E08EE"/>
    <w:rsid w:val="005E0BBB"/>
    <w:rsid w:val="005E2C57"/>
    <w:rsid w:val="005E2D54"/>
    <w:rsid w:val="005E402F"/>
    <w:rsid w:val="005E43E6"/>
    <w:rsid w:val="005E5BAB"/>
    <w:rsid w:val="005E702F"/>
    <w:rsid w:val="005E7799"/>
    <w:rsid w:val="005F11F1"/>
    <w:rsid w:val="005F1D57"/>
    <w:rsid w:val="005F237F"/>
    <w:rsid w:val="005F3117"/>
    <w:rsid w:val="005F34FC"/>
    <w:rsid w:val="005F4882"/>
    <w:rsid w:val="005F4D68"/>
    <w:rsid w:val="005F4DB9"/>
    <w:rsid w:val="005F5008"/>
    <w:rsid w:val="005F5974"/>
    <w:rsid w:val="005F5A83"/>
    <w:rsid w:val="005F6157"/>
    <w:rsid w:val="005F62BE"/>
    <w:rsid w:val="005F643D"/>
    <w:rsid w:val="005F6EFE"/>
    <w:rsid w:val="00600945"/>
    <w:rsid w:val="00600BF4"/>
    <w:rsid w:val="00601375"/>
    <w:rsid w:val="00601485"/>
    <w:rsid w:val="00602288"/>
    <w:rsid w:val="00602B6E"/>
    <w:rsid w:val="006036EC"/>
    <w:rsid w:val="006037C8"/>
    <w:rsid w:val="00603CC8"/>
    <w:rsid w:val="00604F6B"/>
    <w:rsid w:val="006065F3"/>
    <w:rsid w:val="0060687D"/>
    <w:rsid w:val="0061040F"/>
    <w:rsid w:val="006111CD"/>
    <w:rsid w:val="00611299"/>
    <w:rsid w:val="00611394"/>
    <w:rsid w:val="0061173F"/>
    <w:rsid w:val="00614069"/>
    <w:rsid w:val="00614104"/>
    <w:rsid w:val="00614747"/>
    <w:rsid w:val="00614D1A"/>
    <w:rsid w:val="00614F5B"/>
    <w:rsid w:val="0061500D"/>
    <w:rsid w:val="00616944"/>
    <w:rsid w:val="00617123"/>
    <w:rsid w:val="00617625"/>
    <w:rsid w:val="00620CA3"/>
    <w:rsid w:val="00620D07"/>
    <w:rsid w:val="0062259B"/>
    <w:rsid w:val="00622E9F"/>
    <w:rsid w:val="00623FC5"/>
    <w:rsid w:val="00624787"/>
    <w:rsid w:val="006257D5"/>
    <w:rsid w:val="00626DDC"/>
    <w:rsid w:val="0063009F"/>
    <w:rsid w:val="00631D8E"/>
    <w:rsid w:val="00631FE7"/>
    <w:rsid w:val="00632114"/>
    <w:rsid w:val="0063307B"/>
    <w:rsid w:val="00633E41"/>
    <w:rsid w:val="00634199"/>
    <w:rsid w:val="00636916"/>
    <w:rsid w:val="00636A4A"/>
    <w:rsid w:val="00640799"/>
    <w:rsid w:val="00640B45"/>
    <w:rsid w:val="006421AC"/>
    <w:rsid w:val="006433AB"/>
    <w:rsid w:val="00644564"/>
    <w:rsid w:val="006451FD"/>
    <w:rsid w:val="00645BF1"/>
    <w:rsid w:val="00645F0A"/>
    <w:rsid w:val="00646C1A"/>
    <w:rsid w:val="00646F47"/>
    <w:rsid w:val="00647433"/>
    <w:rsid w:val="00650F55"/>
    <w:rsid w:val="006517B8"/>
    <w:rsid w:val="006517E1"/>
    <w:rsid w:val="00652765"/>
    <w:rsid w:val="00652A31"/>
    <w:rsid w:val="00652FB3"/>
    <w:rsid w:val="00652FBF"/>
    <w:rsid w:val="0065317E"/>
    <w:rsid w:val="00653EDB"/>
    <w:rsid w:val="00654130"/>
    <w:rsid w:val="006545A7"/>
    <w:rsid w:val="006548CC"/>
    <w:rsid w:val="00654A9C"/>
    <w:rsid w:val="00654B3D"/>
    <w:rsid w:val="00654CD6"/>
    <w:rsid w:val="0065676C"/>
    <w:rsid w:val="006568F3"/>
    <w:rsid w:val="00660324"/>
    <w:rsid w:val="00662574"/>
    <w:rsid w:val="006632BB"/>
    <w:rsid w:val="006633BC"/>
    <w:rsid w:val="00663F9F"/>
    <w:rsid w:val="0066606E"/>
    <w:rsid w:val="006666C3"/>
    <w:rsid w:val="0066673E"/>
    <w:rsid w:val="00666BB8"/>
    <w:rsid w:val="006671DA"/>
    <w:rsid w:val="0066721A"/>
    <w:rsid w:val="00667515"/>
    <w:rsid w:val="0067024D"/>
    <w:rsid w:val="0067029E"/>
    <w:rsid w:val="00670AB2"/>
    <w:rsid w:val="00671354"/>
    <w:rsid w:val="006725F1"/>
    <w:rsid w:val="006729AA"/>
    <w:rsid w:val="00672A79"/>
    <w:rsid w:val="00673E5B"/>
    <w:rsid w:val="006745BA"/>
    <w:rsid w:val="00675128"/>
    <w:rsid w:val="00676075"/>
    <w:rsid w:val="00677183"/>
    <w:rsid w:val="00677686"/>
    <w:rsid w:val="00681FAC"/>
    <w:rsid w:val="00682662"/>
    <w:rsid w:val="00682CBE"/>
    <w:rsid w:val="00682D3E"/>
    <w:rsid w:val="00683AD6"/>
    <w:rsid w:val="00683CD1"/>
    <w:rsid w:val="00683D92"/>
    <w:rsid w:val="006840A1"/>
    <w:rsid w:val="006842CF"/>
    <w:rsid w:val="0068481D"/>
    <w:rsid w:val="006849F0"/>
    <w:rsid w:val="006856E7"/>
    <w:rsid w:val="00685B21"/>
    <w:rsid w:val="00687039"/>
    <w:rsid w:val="00687E6E"/>
    <w:rsid w:val="00687F06"/>
    <w:rsid w:val="00691A3F"/>
    <w:rsid w:val="00692959"/>
    <w:rsid w:val="00693110"/>
    <w:rsid w:val="0069336E"/>
    <w:rsid w:val="006935EA"/>
    <w:rsid w:val="00694122"/>
    <w:rsid w:val="00694830"/>
    <w:rsid w:val="006955E3"/>
    <w:rsid w:val="006957AD"/>
    <w:rsid w:val="0069680A"/>
    <w:rsid w:val="00697D46"/>
    <w:rsid w:val="00697EAD"/>
    <w:rsid w:val="006A027C"/>
    <w:rsid w:val="006A0378"/>
    <w:rsid w:val="006A061C"/>
    <w:rsid w:val="006A0710"/>
    <w:rsid w:val="006A121C"/>
    <w:rsid w:val="006A1E9A"/>
    <w:rsid w:val="006A2218"/>
    <w:rsid w:val="006A2258"/>
    <w:rsid w:val="006A22C5"/>
    <w:rsid w:val="006A2A0A"/>
    <w:rsid w:val="006A2C8A"/>
    <w:rsid w:val="006A3599"/>
    <w:rsid w:val="006A3E35"/>
    <w:rsid w:val="006A4038"/>
    <w:rsid w:val="006A4AB6"/>
    <w:rsid w:val="006A5DA5"/>
    <w:rsid w:val="006A6E7A"/>
    <w:rsid w:val="006A6F9C"/>
    <w:rsid w:val="006A70D6"/>
    <w:rsid w:val="006A76AE"/>
    <w:rsid w:val="006B07C3"/>
    <w:rsid w:val="006B1382"/>
    <w:rsid w:val="006B156F"/>
    <w:rsid w:val="006B2263"/>
    <w:rsid w:val="006B2398"/>
    <w:rsid w:val="006B2DAE"/>
    <w:rsid w:val="006B33A7"/>
    <w:rsid w:val="006B4136"/>
    <w:rsid w:val="006B4779"/>
    <w:rsid w:val="006B4793"/>
    <w:rsid w:val="006B513E"/>
    <w:rsid w:val="006B5580"/>
    <w:rsid w:val="006B569B"/>
    <w:rsid w:val="006B6DF2"/>
    <w:rsid w:val="006B793E"/>
    <w:rsid w:val="006C0E14"/>
    <w:rsid w:val="006C0F3F"/>
    <w:rsid w:val="006C1E97"/>
    <w:rsid w:val="006C408D"/>
    <w:rsid w:val="006C4382"/>
    <w:rsid w:val="006C492E"/>
    <w:rsid w:val="006C539C"/>
    <w:rsid w:val="006C53A3"/>
    <w:rsid w:val="006C6774"/>
    <w:rsid w:val="006C72F5"/>
    <w:rsid w:val="006C77C0"/>
    <w:rsid w:val="006D07ED"/>
    <w:rsid w:val="006D0DFE"/>
    <w:rsid w:val="006D14E5"/>
    <w:rsid w:val="006D25EA"/>
    <w:rsid w:val="006D27B8"/>
    <w:rsid w:val="006D2B9A"/>
    <w:rsid w:val="006D39B8"/>
    <w:rsid w:val="006D3FBB"/>
    <w:rsid w:val="006D3FF8"/>
    <w:rsid w:val="006D4CAC"/>
    <w:rsid w:val="006D4F9E"/>
    <w:rsid w:val="006D5575"/>
    <w:rsid w:val="006D5BEB"/>
    <w:rsid w:val="006D5F2D"/>
    <w:rsid w:val="006D64BE"/>
    <w:rsid w:val="006D68D4"/>
    <w:rsid w:val="006D74F6"/>
    <w:rsid w:val="006D7A85"/>
    <w:rsid w:val="006E0E1F"/>
    <w:rsid w:val="006E1449"/>
    <w:rsid w:val="006E15E6"/>
    <w:rsid w:val="006E3FDB"/>
    <w:rsid w:val="006E4070"/>
    <w:rsid w:val="006E6131"/>
    <w:rsid w:val="006E6B00"/>
    <w:rsid w:val="006E71C8"/>
    <w:rsid w:val="006E7B99"/>
    <w:rsid w:val="006E7FAA"/>
    <w:rsid w:val="006F0350"/>
    <w:rsid w:val="006F0C62"/>
    <w:rsid w:val="006F10A7"/>
    <w:rsid w:val="006F1154"/>
    <w:rsid w:val="006F1F98"/>
    <w:rsid w:val="006F23BB"/>
    <w:rsid w:val="006F27BB"/>
    <w:rsid w:val="006F3AE9"/>
    <w:rsid w:val="006F3EED"/>
    <w:rsid w:val="006F4104"/>
    <w:rsid w:val="006F6796"/>
    <w:rsid w:val="0070080A"/>
    <w:rsid w:val="00701073"/>
    <w:rsid w:val="0070146E"/>
    <w:rsid w:val="00701FA3"/>
    <w:rsid w:val="00701FD3"/>
    <w:rsid w:val="0070203D"/>
    <w:rsid w:val="00702500"/>
    <w:rsid w:val="007025DD"/>
    <w:rsid w:val="00702E09"/>
    <w:rsid w:val="00702F9A"/>
    <w:rsid w:val="007043FB"/>
    <w:rsid w:val="00704680"/>
    <w:rsid w:val="007048B8"/>
    <w:rsid w:val="00704F76"/>
    <w:rsid w:val="00705F8F"/>
    <w:rsid w:val="00706D1E"/>
    <w:rsid w:val="00706F69"/>
    <w:rsid w:val="00707104"/>
    <w:rsid w:val="00707C3A"/>
    <w:rsid w:val="00710198"/>
    <w:rsid w:val="00711547"/>
    <w:rsid w:val="00711FB0"/>
    <w:rsid w:val="0071280A"/>
    <w:rsid w:val="00712BBA"/>
    <w:rsid w:val="0071331B"/>
    <w:rsid w:val="007158E1"/>
    <w:rsid w:val="00717AD0"/>
    <w:rsid w:val="00717E61"/>
    <w:rsid w:val="00720201"/>
    <w:rsid w:val="00720A0E"/>
    <w:rsid w:val="00720ED0"/>
    <w:rsid w:val="007226F2"/>
    <w:rsid w:val="00722CAF"/>
    <w:rsid w:val="007243CE"/>
    <w:rsid w:val="00724E11"/>
    <w:rsid w:val="00725302"/>
    <w:rsid w:val="00730C1E"/>
    <w:rsid w:val="00731202"/>
    <w:rsid w:val="00731E1B"/>
    <w:rsid w:val="00732EB7"/>
    <w:rsid w:val="0073347F"/>
    <w:rsid w:val="00733E50"/>
    <w:rsid w:val="0073410B"/>
    <w:rsid w:val="0073441F"/>
    <w:rsid w:val="00734BCC"/>
    <w:rsid w:val="0073583F"/>
    <w:rsid w:val="00736735"/>
    <w:rsid w:val="00736F2A"/>
    <w:rsid w:val="007371EF"/>
    <w:rsid w:val="00737F61"/>
    <w:rsid w:val="007402F8"/>
    <w:rsid w:val="007409A6"/>
    <w:rsid w:val="00741E08"/>
    <w:rsid w:val="0074213F"/>
    <w:rsid w:val="007427F7"/>
    <w:rsid w:val="00743C3C"/>
    <w:rsid w:val="00743CAB"/>
    <w:rsid w:val="00744C5E"/>
    <w:rsid w:val="00745022"/>
    <w:rsid w:val="007450FF"/>
    <w:rsid w:val="007460A2"/>
    <w:rsid w:val="0074610D"/>
    <w:rsid w:val="0074700F"/>
    <w:rsid w:val="00750A78"/>
    <w:rsid w:val="007519F2"/>
    <w:rsid w:val="00751C9C"/>
    <w:rsid w:val="00752838"/>
    <w:rsid w:val="00752C65"/>
    <w:rsid w:val="00753CE1"/>
    <w:rsid w:val="007542D6"/>
    <w:rsid w:val="0075781E"/>
    <w:rsid w:val="007603F4"/>
    <w:rsid w:val="00760ED4"/>
    <w:rsid w:val="0076113F"/>
    <w:rsid w:val="007612B9"/>
    <w:rsid w:val="00761950"/>
    <w:rsid w:val="00762492"/>
    <w:rsid w:val="00762B19"/>
    <w:rsid w:val="00764FBB"/>
    <w:rsid w:val="00765F78"/>
    <w:rsid w:val="00766340"/>
    <w:rsid w:val="00766607"/>
    <w:rsid w:val="007705CA"/>
    <w:rsid w:val="00770DF5"/>
    <w:rsid w:val="00772B09"/>
    <w:rsid w:val="007747A5"/>
    <w:rsid w:val="00776425"/>
    <w:rsid w:val="00780081"/>
    <w:rsid w:val="0078072E"/>
    <w:rsid w:val="00780767"/>
    <w:rsid w:val="00780894"/>
    <w:rsid w:val="00780F43"/>
    <w:rsid w:val="00780F6F"/>
    <w:rsid w:val="00781A5D"/>
    <w:rsid w:val="007844CF"/>
    <w:rsid w:val="00785CF8"/>
    <w:rsid w:val="0078624B"/>
    <w:rsid w:val="00787291"/>
    <w:rsid w:val="00790242"/>
    <w:rsid w:val="00790C7A"/>
    <w:rsid w:val="00790E19"/>
    <w:rsid w:val="007910B3"/>
    <w:rsid w:val="0079154D"/>
    <w:rsid w:val="007915B1"/>
    <w:rsid w:val="007921C3"/>
    <w:rsid w:val="00792488"/>
    <w:rsid w:val="0079309D"/>
    <w:rsid w:val="00793476"/>
    <w:rsid w:val="00793A5E"/>
    <w:rsid w:val="0079400C"/>
    <w:rsid w:val="0079415B"/>
    <w:rsid w:val="0079548E"/>
    <w:rsid w:val="0079581C"/>
    <w:rsid w:val="007958AB"/>
    <w:rsid w:val="007958E6"/>
    <w:rsid w:val="00795A9A"/>
    <w:rsid w:val="007A041D"/>
    <w:rsid w:val="007A0724"/>
    <w:rsid w:val="007A0822"/>
    <w:rsid w:val="007A14B6"/>
    <w:rsid w:val="007A1BAA"/>
    <w:rsid w:val="007A1D07"/>
    <w:rsid w:val="007A223A"/>
    <w:rsid w:val="007A28A1"/>
    <w:rsid w:val="007A3146"/>
    <w:rsid w:val="007A5E5A"/>
    <w:rsid w:val="007A7C05"/>
    <w:rsid w:val="007B0224"/>
    <w:rsid w:val="007B063B"/>
    <w:rsid w:val="007B1461"/>
    <w:rsid w:val="007B14E9"/>
    <w:rsid w:val="007B1582"/>
    <w:rsid w:val="007B178A"/>
    <w:rsid w:val="007B3B92"/>
    <w:rsid w:val="007B525A"/>
    <w:rsid w:val="007B5ABC"/>
    <w:rsid w:val="007B6150"/>
    <w:rsid w:val="007B6E29"/>
    <w:rsid w:val="007B7656"/>
    <w:rsid w:val="007C0ED7"/>
    <w:rsid w:val="007C2B19"/>
    <w:rsid w:val="007C3620"/>
    <w:rsid w:val="007C3C31"/>
    <w:rsid w:val="007C537D"/>
    <w:rsid w:val="007C631C"/>
    <w:rsid w:val="007C7041"/>
    <w:rsid w:val="007C7279"/>
    <w:rsid w:val="007C7B14"/>
    <w:rsid w:val="007D0AFF"/>
    <w:rsid w:val="007D1112"/>
    <w:rsid w:val="007D24B1"/>
    <w:rsid w:val="007D29E7"/>
    <w:rsid w:val="007D521A"/>
    <w:rsid w:val="007D5712"/>
    <w:rsid w:val="007D6E76"/>
    <w:rsid w:val="007D7162"/>
    <w:rsid w:val="007D72DB"/>
    <w:rsid w:val="007D734F"/>
    <w:rsid w:val="007E0690"/>
    <w:rsid w:val="007E121C"/>
    <w:rsid w:val="007E1461"/>
    <w:rsid w:val="007E1C81"/>
    <w:rsid w:val="007E1FD8"/>
    <w:rsid w:val="007E25B3"/>
    <w:rsid w:val="007E5237"/>
    <w:rsid w:val="007E5378"/>
    <w:rsid w:val="007E54FB"/>
    <w:rsid w:val="007E5E2B"/>
    <w:rsid w:val="007E75FD"/>
    <w:rsid w:val="007F14DE"/>
    <w:rsid w:val="007F2879"/>
    <w:rsid w:val="007F4360"/>
    <w:rsid w:val="007F43BE"/>
    <w:rsid w:val="007F5EAF"/>
    <w:rsid w:val="007F69A1"/>
    <w:rsid w:val="007F6BF8"/>
    <w:rsid w:val="007F7994"/>
    <w:rsid w:val="007F7B1E"/>
    <w:rsid w:val="00800885"/>
    <w:rsid w:val="008015DA"/>
    <w:rsid w:val="0080162E"/>
    <w:rsid w:val="00801BFA"/>
    <w:rsid w:val="0080271B"/>
    <w:rsid w:val="00802EB5"/>
    <w:rsid w:val="00803912"/>
    <w:rsid w:val="00803C2E"/>
    <w:rsid w:val="008049FD"/>
    <w:rsid w:val="00804A70"/>
    <w:rsid w:val="008057D2"/>
    <w:rsid w:val="008101E4"/>
    <w:rsid w:val="008105AD"/>
    <w:rsid w:val="00811469"/>
    <w:rsid w:val="00811B44"/>
    <w:rsid w:val="00812508"/>
    <w:rsid w:val="00812C2B"/>
    <w:rsid w:val="00812D1F"/>
    <w:rsid w:val="0081412B"/>
    <w:rsid w:val="008144C6"/>
    <w:rsid w:val="00814797"/>
    <w:rsid w:val="0081494A"/>
    <w:rsid w:val="0081512F"/>
    <w:rsid w:val="00815326"/>
    <w:rsid w:val="008155C5"/>
    <w:rsid w:val="00816278"/>
    <w:rsid w:val="00816B18"/>
    <w:rsid w:val="0082036E"/>
    <w:rsid w:val="00820868"/>
    <w:rsid w:val="008210B8"/>
    <w:rsid w:val="008213AD"/>
    <w:rsid w:val="00822160"/>
    <w:rsid w:val="008230D8"/>
    <w:rsid w:val="00823523"/>
    <w:rsid w:val="00823A7B"/>
    <w:rsid w:val="00824785"/>
    <w:rsid w:val="008248F3"/>
    <w:rsid w:val="008255B9"/>
    <w:rsid w:val="00827587"/>
    <w:rsid w:val="00827F6A"/>
    <w:rsid w:val="008303AE"/>
    <w:rsid w:val="00831FCB"/>
    <w:rsid w:val="00832B66"/>
    <w:rsid w:val="00833211"/>
    <w:rsid w:val="008359F5"/>
    <w:rsid w:val="0083662C"/>
    <w:rsid w:val="00836A84"/>
    <w:rsid w:val="00836C1B"/>
    <w:rsid w:val="00836D24"/>
    <w:rsid w:val="00837584"/>
    <w:rsid w:val="008376C0"/>
    <w:rsid w:val="008404CE"/>
    <w:rsid w:val="00840873"/>
    <w:rsid w:val="00841155"/>
    <w:rsid w:val="0084222C"/>
    <w:rsid w:val="008426A1"/>
    <w:rsid w:val="00842C64"/>
    <w:rsid w:val="00842F21"/>
    <w:rsid w:val="00842FB7"/>
    <w:rsid w:val="00843385"/>
    <w:rsid w:val="00843E0E"/>
    <w:rsid w:val="0084436E"/>
    <w:rsid w:val="00844427"/>
    <w:rsid w:val="00844FC0"/>
    <w:rsid w:val="0084527D"/>
    <w:rsid w:val="008454E1"/>
    <w:rsid w:val="00846AE4"/>
    <w:rsid w:val="0085354F"/>
    <w:rsid w:val="0085375F"/>
    <w:rsid w:val="00853888"/>
    <w:rsid w:val="00853DB5"/>
    <w:rsid w:val="0085403C"/>
    <w:rsid w:val="00854254"/>
    <w:rsid w:val="008542D1"/>
    <w:rsid w:val="0085487E"/>
    <w:rsid w:val="00854A6A"/>
    <w:rsid w:val="00855485"/>
    <w:rsid w:val="008556BC"/>
    <w:rsid w:val="0085624D"/>
    <w:rsid w:val="00857279"/>
    <w:rsid w:val="00857463"/>
    <w:rsid w:val="008578F3"/>
    <w:rsid w:val="00860B33"/>
    <w:rsid w:val="0086136F"/>
    <w:rsid w:val="008613F3"/>
    <w:rsid w:val="00862227"/>
    <w:rsid w:val="00862612"/>
    <w:rsid w:val="0086449B"/>
    <w:rsid w:val="00864A28"/>
    <w:rsid w:val="00864C2D"/>
    <w:rsid w:val="008650C0"/>
    <w:rsid w:val="00865BEC"/>
    <w:rsid w:val="00865CD0"/>
    <w:rsid w:val="00866105"/>
    <w:rsid w:val="00866B83"/>
    <w:rsid w:val="0086704F"/>
    <w:rsid w:val="0087002C"/>
    <w:rsid w:val="008713A8"/>
    <w:rsid w:val="00875339"/>
    <w:rsid w:val="0087680A"/>
    <w:rsid w:val="008773EF"/>
    <w:rsid w:val="008809C0"/>
    <w:rsid w:val="00881052"/>
    <w:rsid w:val="0088127D"/>
    <w:rsid w:val="00881B09"/>
    <w:rsid w:val="0088204C"/>
    <w:rsid w:val="0088330A"/>
    <w:rsid w:val="00883EAA"/>
    <w:rsid w:val="00884523"/>
    <w:rsid w:val="00884711"/>
    <w:rsid w:val="008853A8"/>
    <w:rsid w:val="00890EBD"/>
    <w:rsid w:val="00891177"/>
    <w:rsid w:val="008917CF"/>
    <w:rsid w:val="00891850"/>
    <w:rsid w:val="00891B8A"/>
    <w:rsid w:val="00891FF1"/>
    <w:rsid w:val="00892764"/>
    <w:rsid w:val="0089420F"/>
    <w:rsid w:val="00894523"/>
    <w:rsid w:val="00894575"/>
    <w:rsid w:val="00894804"/>
    <w:rsid w:val="00894E28"/>
    <w:rsid w:val="00895E92"/>
    <w:rsid w:val="008963A6"/>
    <w:rsid w:val="00896538"/>
    <w:rsid w:val="00897614"/>
    <w:rsid w:val="008A0384"/>
    <w:rsid w:val="008A2673"/>
    <w:rsid w:val="008A289F"/>
    <w:rsid w:val="008A408D"/>
    <w:rsid w:val="008A43A3"/>
    <w:rsid w:val="008A4949"/>
    <w:rsid w:val="008A4F42"/>
    <w:rsid w:val="008A6420"/>
    <w:rsid w:val="008A724B"/>
    <w:rsid w:val="008A7BAA"/>
    <w:rsid w:val="008A7BE6"/>
    <w:rsid w:val="008B0573"/>
    <w:rsid w:val="008B072C"/>
    <w:rsid w:val="008B2180"/>
    <w:rsid w:val="008B31DB"/>
    <w:rsid w:val="008B3496"/>
    <w:rsid w:val="008B4922"/>
    <w:rsid w:val="008B5420"/>
    <w:rsid w:val="008B552F"/>
    <w:rsid w:val="008B5711"/>
    <w:rsid w:val="008B5DCC"/>
    <w:rsid w:val="008B5EF7"/>
    <w:rsid w:val="008B62AA"/>
    <w:rsid w:val="008B648A"/>
    <w:rsid w:val="008B6500"/>
    <w:rsid w:val="008B6574"/>
    <w:rsid w:val="008B76BF"/>
    <w:rsid w:val="008B78BF"/>
    <w:rsid w:val="008C0828"/>
    <w:rsid w:val="008C0D4B"/>
    <w:rsid w:val="008C1029"/>
    <w:rsid w:val="008C1F55"/>
    <w:rsid w:val="008C25B3"/>
    <w:rsid w:val="008C2639"/>
    <w:rsid w:val="008C27A8"/>
    <w:rsid w:val="008C307F"/>
    <w:rsid w:val="008C5A1E"/>
    <w:rsid w:val="008C6A1D"/>
    <w:rsid w:val="008C6B27"/>
    <w:rsid w:val="008C7337"/>
    <w:rsid w:val="008C7F69"/>
    <w:rsid w:val="008D24CB"/>
    <w:rsid w:val="008D293E"/>
    <w:rsid w:val="008D3946"/>
    <w:rsid w:val="008D44F2"/>
    <w:rsid w:val="008D4A2B"/>
    <w:rsid w:val="008D5407"/>
    <w:rsid w:val="008D5B7B"/>
    <w:rsid w:val="008E0400"/>
    <w:rsid w:val="008E1121"/>
    <w:rsid w:val="008E189E"/>
    <w:rsid w:val="008E1CC0"/>
    <w:rsid w:val="008E3031"/>
    <w:rsid w:val="008E3183"/>
    <w:rsid w:val="008E32DE"/>
    <w:rsid w:val="008E39E1"/>
    <w:rsid w:val="008E4CDB"/>
    <w:rsid w:val="008E5295"/>
    <w:rsid w:val="008E68C6"/>
    <w:rsid w:val="008E6933"/>
    <w:rsid w:val="008E6BCB"/>
    <w:rsid w:val="008E6F5F"/>
    <w:rsid w:val="008F0443"/>
    <w:rsid w:val="008F0572"/>
    <w:rsid w:val="008F132F"/>
    <w:rsid w:val="008F13D4"/>
    <w:rsid w:val="008F24B8"/>
    <w:rsid w:val="008F25B0"/>
    <w:rsid w:val="008F25CA"/>
    <w:rsid w:val="008F27FE"/>
    <w:rsid w:val="008F2EEF"/>
    <w:rsid w:val="008F31C1"/>
    <w:rsid w:val="008F3651"/>
    <w:rsid w:val="008F3A58"/>
    <w:rsid w:val="008F6B05"/>
    <w:rsid w:val="008F753A"/>
    <w:rsid w:val="008F790D"/>
    <w:rsid w:val="00900124"/>
    <w:rsid w:val="00901DDE"/>
    <w:rsid w:val="00902F49"/>
    <w:rsid w:val="00902F59"/>
    <w:rsid w:val="00903768"/>
    <w:rsid w:val="009037F7"/>
    <w:rsid w:val="00904463"/>
    <w:rsid w:val="00904A4B"/>
    <w:rsid w:val="009057E5"/>
    <w:rsid w:val="00906504"/>
    <w:rsid w:val="009069B6"/>
    <w:rsid w:val="00906E4E"/>
    <w:rsid w:val="009077C2"/>
    <w:rsid w:val="00907B9C"/>
    <w:rsid w:val="009106FC"/>
    <w:rsid w:val="00911340"/>
    <w:rsid w:val="00911AB3"/>
    <w:rsid w:val="0091219F"/>
    <w:rsid w:val="009127A1"/>
    <w:rsid w:val="00913251"/>
    <w:rsid w:val="0091340D"/>
    <w:rsid w:val="00914CFB"/>
    <w:rsid w:val="00914E0F"/>
    <w:rsid w:val="009158F8"/>
    <w:rsid w:val="0091674C"/>
    <w:rsid w:val="00917D1B"/>
    <w:rsid w:val="00920714"/>
    <w:rsid w:val="00920970"/>
    <w:rsid w:val="00920E3D"/>
    <w:rsid w:val="009220C7"/>
    <w:rsid w:val="009228A1"/>
    <w:rsid w:val="00922D5D"/>
    <w:rsid w:val="00922FC5"/>
    <w:rsid w:val="009236A0"/>
    <w:rsid w:val="00923803"/>
    <w:rsid w:val="00923AE6"/>
    <w:rsid w:val="00923FE1"/>
    <w:rsid w:val="009242E3"/>
    <w:rsid w:val="00924FDE"/>
    <w:rsid w:val="00925175"/>
    <w:rsid w:val="00925A7B"/>
    <w:rsid w:val="00927845"/>
    <w:rsid w:val="00927C99"/>
    <w:rsid w:val="009322A6"/>
    <w:rsid w:val="009322BB"/>
    <w:rsid w:val="00932794"/>
    <w:rsid w:val="009330CE"/>
    <w:rsid w:val="00933C09"/>
    <w:rsid w:val="00934233"/>
    <w:rsid w:val="00934517"/>
    <w:rsid w:val="00934938"/>
    <w:rsid w:val="0093522F"/>
    <w:rsid w:val="00935CAE"/>
    <w:rsid w:val="009362C4"/>
    <w:rsid w:val="00937BCD"/>
    <w:rsid w:val="00937CF2"/>
    <w:rsid w:val="009402AE"/>
    <w:rsid w:val="009405E7"/>
    <w:rsid w:val="009408F0"/>
    <w:rsid w:val="00940A82"/>
    <w:rsid w:val="00942788"/>
    <w:rsid w:val="00942D88"/>
    <w:rsid w:val="0094349B"/>
    <w:rsid w:val="00943751"/>
    <w:rsid w:val="00943771"/>
    <w:rsid w:val="00943DF8"/>
    <w:rsid w:val="00945BAF"/>
    <w:rsid w:val="00945BC1"/>
    <w:rsid w:val="009462E7"/>
    <w:rsid w:val="00946F78"/>
    <w:rsid w:val="00947298"/>
    <w:rsid w:val="00947E9E"/>
    <w:rsid w:val="00950187"/>
    <w:rsid w:val="00951008"/>
    <w:rsid w:val="0095348B"/>
    <w:rsid w:val="0095733D"/>
    <w:rsid w:val="00960053"/>
    <w:rsid w:val="0096095A"/>
    <w:rsid w:val="00960B4D"/>
    <w:rsid w:val="00960C00"/>
    <w:rsid w:val="00960FD5"/>
    <w:rsid w:val="0096148F"/>
    <w:rsid w:val="009615A0"/>
    <w:rsid w:val="00961918"/>
    <w:rsid w:val="00962806"/>
    <w:rsid w:val="00962D63"/>
    <w:rsid w:val="0096591C"/>
    <w:rsid w:val="00966087"/>
    <w:rsid w:val="009673DD"/>
    <w:rsid w:val="00967AF2"/>
    <w:rsid w:val="00967D89"/>
    <w:rsid w:val="00970D1D"/>
    <w:rsid w:val="0097102D"/>
    <w:rsid w:val="009712AD"/>
    <w:rsid w:val="0097321F"/>
    <w:rsid w:val="00973B38"/>
    <w:rsid w:val="00974E4F"/>
    <w:rsid w:val="00977A72"/>
    <w:rsid w:val="00981C5F"/>
    <w:rsid w:val="00982158"/>
    <w:rsid w:val="009821AB"/>
    <w:rsid w:val="00982A41"/>
    <w:rsid w:val="009839E2"/>
    <w:rsid w:val="00986360"/>
    <w:rsid w:val="009864C0"/>
    <w:rsid w:val="009878BB"/>
    <w:rsid w:val="00987F00"/>
    <w:rsid w:val="00990260"/>
    <w:rsid w:val="009916DB"/>
    <w:rsid w:val="0099225C"/>
    <w:rsid w:val="00993172"/>
    <w:rsid w:val="00993EA6"/>
    <w:rsid w:val="00993F09"/>
    <w:rsid w:val="00994AA7"/>
    <w:rsid w:val="00994EBB"/>
    <w:rsid w:val="009965B1"/>
    <w:rsid w:val="009973F6"/>
    <w:rsid w:val="009979A5"/>
    <w:rsid w:val="009A01B9"/>
    <w:rsid w:val="009A092D"/>
    <w:rsid w:val="009A0D64"/>
    <w:rsid w:val="009A22ED"/>
    <w:rsid w:val="009A2498"/>
    <w:rsid w:val="009A419A"/>
    <w:rsid w:val="009A496C"/>
    <w:rsid w:val="009A6663"/>
    <w:rsid w:val="009A6E73"/>
    <w:rsid w:val="009A6F98"/>
    <w:rsid w:val="009A757B"/>
    <w:rsid w:val="009A76D6"/>
    <w:rsid w:val="009B0652"/>
    <w:rsid w:val="009B1128"/>
    <w:rsid w:val="009B1654"/>
    <w:rsid w:val="009B1B13"/>
    <w:rsid w:val="009B333F"/>
    <w:rsid w:val="009B35B5"/>
    <w:rsid w:val="009B3EAE"/>
    <w:rsid w:val="009B4685"/>
    <w:rsid w:val="009B47A1"/>
    <w:rsid w:val="009B49B5"/>
    <w:rsid w:val="009B5066"/>
    <w:rsid w:val="009B5CB5"/>
    <w:rsid w:val="009B612B"/>
    <w:rsid w:val="009B6624"/>
    <w:rsid w:val="009B6659"/>
    <w:rsid w:val="009B743F"/>
    <w:rsid w:val="009B74F7"/>
    <w:rsid w:val="009B798E"/>
    <w:rsid w:val="009C029A"/>
    <w:rsid w:val="009C0330"/>
    <w:rsid w:val="009C1450"/>
    <w:rsid w:val="009C1599"/>
    <w:rsid w:val="009C204C"/>
    <w:rsid w:val="009C3220"/>
    <w:rsid w:val="009C3422"/>
    <w:rsid w:val="009C399A"/>
    <w:rsid w:val="009C4760"/>
    <w:rsid w:val="009C4EE7"/>
    <w:rsid w:val="009C57F8"/>
    <w:rsid w:val="009C5A48"/>
    <w:rsid w:val="009C635C"/>
    <w:rsid w:val="009C6A4A"/>
    <w:rsid w:val="009C7166"/>
    <w:rsid w:val="009C71AE"/>
    <w:rsid w:val="009C7549"/>
    <w:rsid w:val="009C7ACF"/>
    <w:rsid w:val="009D1580"/>
    <w:rsid w:val="009D173B"/>
    <w:rsid w:val="009D1AF4"/>
    <w:rsid w:val="009D3C09"/>
    <w:rsid w:val="009D52E1"/>
    <w:rsid w:val="009D5314"/>
    <w:rsid w:val="009D57DD"/>
    <w:rsid w:val="009D63CA"/>
    <w:rsid w:val="009D7371"/>
    <w:rsid w:val="009D7701"/>
    <w:rsid w:val="009E08F8"/>
    <w:rsid w:val="009E0A83"/>
    <w:rsid w:val="009E0BA4"/>
    <w:rsid w:val="009E1355"/>
    <w:rsid w:val="009E1B8D"/>
    <w:rsid w:val="009E1DD1"/>
    <w:rsid w:val="009E215C"/>
    <w:rsid w:val="009E2995"/>
    <w:rsid w:val="009E2D77"/>
    <w:rsid w:val="009E3859"/>
    <w:rsid w:val="009E3CB4"/>
    <w:rsid w:val="009E43EC"/>
    <w:rsid w:val="009E6277"/>
    <w:rsid w:val="009E62CE"/>
    <w:rsid w:val="009E69E9"/>
    <w:rsid w:val="009E75EA"/>
    <w:rsid w:val="009E7651"/>
    <w:rsid w:val="009E777D"/>
    <w:rsid w:val="009E7865"/>
    <w:rsid w:val="009F092A"/>
    <w:rsid w:val="009F0A0B"/>
    <w:rsid w:val="009F12A8"/>
    <w:rsid w:val="009F1952"/>
    <w:rsid w:val="009F1A08"/>
    <w:rsid w:val="009F24AD"/>
    <w:rsid w:val="009F2B1C"/>
    <w:rsid w:val="009F318A"/>
    <w:rsid w:val="009F37D0"/>
    <w:rsid w:val="009F4167"/>
    <w:rsid w:val="009F5E02"/>
    <w:rsid w:val="009F63FE"/>
    <w:rsid w:val="009F68D8"/>
    <w:rsid w:val="00A00FB1"/>
    <w:rsid w:val="00A01771"/>
    <w:rsid w:val="00A018DA"/>
    <w:rsid w:val="00A01D61"/>
    <w:rsid w:val="00A02A94"/>
    <w:rsid w:val="00A02AC3"/>
    <w:rsid w:val="00A03253"/>
    <w:rsid w:val="00A03879"/>
    <w:rsid w:val="00A04333"/>
    <w:rsid w:val="00A05128"/>
    <w:rsid w:val="00A055A5"/>
    <w:rsid w:val="00A05929"/>
    <w:rsid w:val="00A068F6"/>
    <w:rsid w:val="00A06F53"/>
    <w:rsid w:val="00A0715D"/>
    <w:rsid w:val="00A10338"/>
    <w:rsid w:val="00A10E8A"/>
    <w:rsid w:val="00A11AFD"/>
    <w:rsid w:val="00A11E3D"/>
    <w:rsid w:val="00A1258D"/>
    <w:rsid w:val="00A126C3"/>
    <w:rsid w:val="00A14041"/>
    <w:rsid w:val="00A14B7B"/>
    <w:rsid w:val="00A157AF"/>
    <w:rsid w:val="00A1601A"/>
    <w:rsid w:val="00A17F74"/>
    <w:rsid w:val="00A22032"/>
    <w:rsid w:val="00A22975"/>
    <w:rsid w:val="00A22CCD"/>
    <w:rsid w:val="00A22D55"/>
    <w:rsid w:val="00A23291"/>
    <w:rsid w:val="00A23763"/>
    <w:rsid w:val="00A240E2"/>
    <w:rsid w:val="00A24394"/>
    <w:rsid w:val="00A246C2"/>
    <w:rsid w:val="00A255F7"/>
    <w:rsid w:val="00A2579C"/>
    <w:rsid w:val="00A25F1B"/>
    <w:rsid w:val="00A276B1"/>
    <w:rsid w:val="00A30025"/>
    <w:rsid w:val="00A31B06"/>
    <w:rsid w:val="00A32E60"/>
    <w:rsid w:val="00A3318C"/>
    <w:rsid w:val="00A33A76"/>
    <w:rsid w:val="00A33CA7"/>
    <w:rsid w:val="00A3401E"/>
    <w:rsid w:val="00A344B7"/>
    <w:rsid w:val="00A34FA4"/>
    <w:rsid w:val="00A407EE"/>
    <w:rsid w:val="00A417C8"/>
    <w:rsid w:val="00A41A13"/>
    <w:rsid w:val="00A41FC1"/>
    <w:rsid w:val="00A4222A"/>
    <w:rsid w:val="00A423A3"/>
    <w:rsid w:val="00A4490C"/>
    <w:rsid w:val="00A44C1D"/>
    <w:rsid w:val="00A50769"/>
    <w:rsid w:val="00A50907"/>
    <w:rsid w:val="00A50989"/>
    <w:rsid w:val="00A51699"/>
    <w:rsid w:val="00A51768"/>
    <w:rsid w:val="00A51E64"/>
    <w:rsid w:val="00A525D9"/>
    <w:rsid w:val="00A52DA7"/>
    <w:rsid w:val="00A53C1D"/>
    <w:rsid w:val="00A53FCF"/>
    <w:rsid w:val="00A541AA"/>
    <w:rsid w:val="00A54558"/>
    <w:rsid w:val="00A5491C"/>
    <w:rsid w:val="00A54EA9"/>
    <w:rsid w:val="00A55081"/>
    <w:rsid w:val="00A57EFC"/>
    <w:rsid w:val="00A60B9D"/>
    <w:rsid w:val="00A60C11"/>
    <w:rsid w:val="00A61704"/>
    <w:rsid w:val="00A6203B"/>
    <w:rsid w:val="00A63984"/>
    <w:rsid w:val="00A63C28"/>
    <w:rsid w:val="00A644E6"/>
    <w:rsid w:val="00A64EAE"/>
    <w:rsid w:val="00A653D1"/>
    <w:rsid w:val="00A653EF"/>
    <w:rsid w:val="00A655D1"/>
    <w:rsid w:val="00A65A71"/>
    <w:rsid w:val="00A662D6"/>
    <w:rsid w:val="00A66915"/>
    <w:rsid w:val="00A673C4"/>
    <w:rsid w:val="00A67419"/>
    <w:rsid w:val="00A67A57"/>
    <w:rsid w:val="00A71A32"/>
    <w:rsid w:val="00A74851"/>
    <w:rsid w:val="00A75E50"/>
    <w:rsid w:val="00A76B91"/>
    <w:rsid w:val="00A77CFB"/>
    <w:rsid w:val="00A77EFC"/>
    <w:rsid w:val="00A77FA9"/>
    <w:rsid w:val="00A805F4"/>
    <w:rsid w:val="00A80D22"/>
    <w:rsid w:val="00A821FE"/>
    <w:rsid w:val="00A828E6"/>
    <w:rsid w:val="00A83DB4"/>
    <w:rsid w:val="00A840CB"/>
    <w:rsid w:val="00A86589"/>
    <w:rsid w:val="00A86C65"/>
    <w:rsid w:val="00A87B5F"/>
    <w:rsid w:val="00A87E5B"/>
    <w:rsid w:val="00A901B1"/>
    <w:rsid w:val="00A908EB"/>
    <w:rsid w:val="00A90FEF"/>
    <w:rsid w:val="00A91B4E"/>
    <w:rsid w:val="00A91D6F"/>
    <w:rsid w:val="00A91F32"/>
    <w:rsid w:val="00A926A4"/>
    <w:rsid w:val="00A92FE2"/>
    <w:rsid w:val="00A94968"/>
    <w:rsid w:val="00A94BF0"/>
    <w:rsid w:val="00A94C64"/>
    <w:rsid w:val="00A95142"/>
    <w:rsid w:val="00A95B37"/>
    <w:rsid w:val="00A96567"/>
    <w:rsid w:val="00A96A64"/>
    <w:rsid w:val="00A96AC7"/>
    <w:rsid w:val="00A9768D"/>
    <w:rsid w:val="00A978EB"/>
    <w:rsid w:val="00A97DAF"/>
    <w:rsid w:val="00A97DF5"/>
    <w:rsid w:val="00AA08C1"/>
    <w:rsid w:val="00AA0F7C"/>
    <w:rsid w:val="00AA24DB"/>
    <w:rsid w:val="00AA2564"/>
    <w:rsid w:val="00AA29EC"/>
    <w:rsid w:val="00AA2EE9"/>
    <w:rsid w:val="00AA4622"/>
    <w:rsid w:val="00AA4EF9"/>
    <w:rsid w:val="00AA5D32"/>
    <w:rsid w:val="00AB19EB"/>
    <w:rsid w:val="00AB1F67"/>
    <w:rsid w:val="00AB2679"/>
    <w:rsid w:val="00AB2DD8"/>
    <w:rsid w:val="00AB37BC"/>
    <w:rsid w:val="00AC0078"/>
    <w:rsid w:val="00AC0503"/>
    <w:rsid w:val="00AC0F4E"/>
    <w:rsid w:val="00AC21AE"/>
    <w:rsid w:val="00AC2479"/>
    <w:rsid w:val="00AC3FBF"/>
    <w:rsid w:val="00AC4ADA"/>
    <w:rsid w:val="00AC517D"/>
    <w:rsid w:val="00AC5E77"/>
    <w:rsid w:val="00AC7031"/>
    <w:rsid w:val="00AD0410"/>
    <w:rsid w:val="00AD0578"/>
    <w:rsid w:val="00AD068F"/>
    <w:rsid w:val="00AD0B68"/>
    <w:rsid w:val="00AD30C7"/>
    <w:rsid w:val="00AD39AF"/>
    <w:rsid w:val="00AD6AE8"/>
    <w:rsid w:val="00AD7785"/>
    <w:rsid w:val="00AD7DE2"/>
    <w:rsid w:val="00AE032A"/>
    <w:rsid w:val="00AE0F2F"/>
    <w:rsid w:val="00AE184D"/>
    <w:rsid w:val="00AE2A32"/>
    <w:rsid w:val="00AE4063"/>
    <w:rsid w:val="00AE4372"/>
    <w:rsid w:val="00AE468F"/>
    <w:rsid w:val="00AE4DFC"/>
    <w:rsid w:val="00AE545C"/>
    <w:rsid w:val="00AE5CAA"/>
    <w:rsid w:val="00AE6645"/>
    <w:rsid w:val="00AE79AC"/>
    <w:rsid w:val="00AF03E0"/>
    <w:rsid w:val="00AF0BA4"/>
    <w:rsid w:val="00AF113B"/>
    <w:rsid w:val="00AF25C5"/>
    <w:rsid w:val="00AF31EC"/>
    <w:rsid w:val="00AF35FD"/>
    <w:rsid w:val="00AF39CA"/>
    <w:rsid w:val="00AF4033"/>
    <w:rsid w:val="00AF42EE"/>
    <w:rsid w:val="00AF555B"/>
    <w:rsid w:val="00AF641D"/>
    <w:rsid w:val="00B0280A"/>
    <w:rsid w:val="00B03356"/>
    <w:rsid w:val="00B04DAC"/>
    <w:rsid w:val="00B070E6"/>
    <w:rsid w:val="00B073A8"/>
    <w:rsid w:val="00B075FB"/>
    <w:rsid w:val="00B07B5C"/>
    <w:rsid w:val="00B1074A"/>
    <w:rsid w:val="00B10979"/>
    <w:rsid w:val="00B12AB8"/>
    <w:rsid w:val="00B138C0"/>
    <w:rsid w:val="00B14131"/>
    <w:rsid w:val="00B14198"/>
    <w:rsid w:val="00B1437D"/>
    <w:rsid w:val="00B156B1"/>
    <w:rsid w:val="00B15C1C"/>
    <w:rsid w:val="00B162FF"/>
    <w:rsid w:val="00B17415"/>
    <w:rsid w:val="00B17665"/>
    <w:rsid w:val="00B21982"/>
    <w:rsid w:val="00B2256A"/>
    <w:rsid w:val="00B238E9"/>
    <w:rsid w:val="00B2570D"/>
    <w:rsid w:val="00B258BA"/>
    <w:rsid w:val="00B263A3"/>
    <w:rsid w:val="00B266B7"/>
    <w:rsid w:val="00B268F4"/>
    <w:rsid w:val="00B26A15"/>
    <w:rsid w:val="00B27819"/>
    <w:rsid w:val="00B27E91"/>
    <w:rsid w:val="00B305C5"/>
    <w:rsid w:val="00B30E69"/>
    <w:rsid w:val="00B312D0"/>
    <w:rsid w:val="00B315C9"/>
    <w:rsid w:val="00B31C83"/>
    <w:rsid w:val="00B32972"/>
    <w:rsid w:val="00B33BE2"/>
    <w:rsid w:val="00B33FE0"/>
    <w:rsid w:val="00B34E0E"/>
    <w:rsid w:val="00B34F3E"/>
    <w:rsid w:val="00B353E0"/>
    <w:rsid w:val="00B35EC1"/>
    <w:rsid w:val="00B362D9"/>
    <w:rsid w:val="00B40AAA"/>
    <w:rsid w:val="00B4179F"/>
    <w:rsid w:val="00B417B3"/>
    <w:rsid w:val="00B43259"/>
    <w:rsid w:val="00B43DD9"/>
    <w:rsid w:val="00B441C9"/>
    <w:rsid w:val="00B443F9"/>
    <w:rsid w:val="00B44959"/>
    <w:rsid w:val="00B44F49"/>
    <w:rsid w:val="00B454D0"/>
    <w:rsid w:val="00B46FC4"/>
    <w:rsid w:val="00B476BF"/>
    <w:rsid w:val="00B47E1B"/>
    <w:rsid w:val="00B47F30"/>
    <w:rsid w:val="00B502B3"/>
    <w:rsid w:val="00B50983"/>
    <w:rsid w:val="00B50A25"/>
    <w:rsid w:val="00B50F47"/>
    <w:rsid w:val="00B51EF6"/>
    <w:rsid w:val="00B5337D"/>
    <w:rsid w:val="00B5510D"/>
    <w:rsid w:val="00B57414"/>
    <w:rsid w:val="00B611C6"/>
    <w:rsid w:val="00B61D2A"/>
    <w:rsid w:val="00B6212A"/>
    <w:rsid w:val="00B62954"/>
    <w:rsid w:val="00B63F2C"/>
    <w:rsid w:val="00B64B92"/>
    <w:rsid w:val="00B64CB4"/>
    <w:rsid w:val="00B65837"/>
    <w:rsid w:val="00B667F5"/>
    <w:rsid w:val="00B67072"/>
    <w:rsid w:val="00B72F89"/>
    <w:rsid w:val="00B73079"/>
    <w:rsid w:val="00B741F8"/>
    <w:rsid w:val="00B745F9"/>
    <w:rsid w:val="00B761F7"/>
    <w:rsid w:val="00B7697B"/>
    <w:rsid w:val="00B77BE3"/>
    <w:rsid w:val="00B80798"/>
    <w:rsid w:val="00B8079A"/>
    <w:rsid w:val="00B80B95"/>
    <w:rsid w:val="00B81C4E"/>
    <w:rsid w:val="00B82313"/>
    <w:rsid w:val="00B826D3"/>
    <w:rsid w:val="00B83159"/>
    <w:rsid w:val="00B8316F"/>
    <w:rsid w:val="00B849C8"/>
    <w:rsid w:val="00B84ED1"/>
    <w:rsid w:val="00B87432"/>
    <w:rsid w:val="00B9034E"/>
    <w:rsid w:val="00B90570"/>
    <w:rsid w:val="00B909C4"/>
    <w:rsid w:val="00B91A17"/>
    <w:rsid w:val="00B91BE5"/>
    <w:rsid w:val="00B9282B"/>
    <w:rsid w:val="00B92A62"/>
    <w:rsid w:val="00B92D08"/>
    <w:rsid w:val="00B93ECD"/>
    <w:rsid w:val="00B94836"/>
    <w:rsid w:val="00B970C8"/>
    <w:rsid w:val="00B974CE"/>
    <w:rsid w:val="00BA0D14"/>
    <w:rsid w:val="00BA1448"/>
    <w:rsid w:val="00BA1B86"/>
    <w:rsid w:val="00BA1CFB"/>
    <w:rsid w:val="00BA205C"/>
    <w:rsid w:val="00BA20AC"/>
    <w:rsid w:val="00BA3001"/>
    <w:rsid w:val="00BA306E"/>
    <w:rsid w:val="00BA4A43"/>
    <w:rsid w:val="00BA5F31"/>
    <w:rsid w:val="00BA62D9"/>
    <w:rsid w:val="00BA66AF"/>
    <w:rsid w:val="00BA6B4B"/>
    <w:rsid w:val="00BA73C5"/>
    <w:rsid w:val="00BA7A6B"/>
    <w:rsid w:val="00BA7CA1"/>
    <w:rsid w:val="00BB0301"/>
    <w:rsid w:val="00BB04A0"/>
    <w:rsid w:val="00BB21C9"/>
    <w:rsid w:val="00BB4B24"/>
    <w:rsid w:val="00BB54F4"/>
    <w:rsid w:val="00BB5618"/>
    <w:rsid w:val="00BB59C4"/>
    <w:rsid w:val="00BB60C9"/>
    <w:rsid w:val="00BB6222"/>
    <w:rsid w:val="00BB6293"/>
    <w:rsid w:val="00BB6455"/>
    <w:rsid w:val="00BB648B"/>
    <w:rsid w:val="00BC04B0"/>
    <w:rsid w:val="00BC0A93"/>
    <w:rsid w:val="00BC13CD"/>
    <w:rsid w:val="00BC1455"/>
    <w:rsid w:val="00BC1AF7"/>
    <w:rsid w:val="00BC1C26"/>
    <w:rsid w:val="00BC1CC4"/>
    <w:rsid w:val="00BC2608"/>
    <w:rsid w:val="00BC2C3D"/>
    <w:rsid w:val="00BC2CDD"/>
    <w:rsid w:val="00BC3C88"/>
    <w:rsid w:val="00BC3E3B"/>
    <w:rsid w:val="00BC3FF9"/>
    <w:rsid w:val="00BC4582"/>
    <w:rsid w:val="00BC46E8"/>
    <w:rsid w:val="00BC4790"/>
    <w:rsid w:val="00BC4A8B"/>
    <w:rsid w:val="00BC559D"/>
    <w:rsid w:val="00BC6718"/>
    <w:rsid w:val="00BC71A6"/>
    <w:rsid w:val="00BD016C"/>
    <w:rsid w:val="00BD0424"/>
    <w:rsid w:val="00BD0D3C"/>
    <w:rsid w:val="00BD12E6"/>
    <w:rsid w:val="00BD21C1"/>
    <w:rsid w:val="00BD2662"/>
    <w:rsid w:val="00BD2E96"/>
    <w:rsid w:val="00BD3209"/>
    <w:rsid w:val="00BD3426"/>
    <w:rsid w:val="00BD4524"/>
    <w:rsid w:val="00BD5B8F"/>
    <w:rsid w:val="00BE0021"/>
    <w:rsid w:val="00BE0024"/>
    <w:rsid w:val="00BE0A48"/>
    <w:rsid w:val="00BE0AA9"/>
    <w:rsid w:val="00BE2B81"/>
    <w:rsid w:val="00BE2C92"/>
    <w:rsid w:val="00BE3605"/>
    <w:rsid w:val="00BE3873"/>
    <w:rsid w:val="00BE3EE4"/>
    <w:rsid w:val="00BE40C5"/>
    <w:rsid w:val="00BE4786"/>
    <w:rsid w:val="00BE4EE2"/>
    <w:rsid w:val="00BE5557"/>
    <w:rsid w:val="00BE62D6"/>
    <w:rsid w:val="00BE6620"/>
    <w:rsid w:val="00BE6753"/>
    <w:rsid w:val="00BE6897"/>
    <w:rsid w:val="00BE6B83"/>
    <w:rsid w:val="00BE725E"/>
    <w:rsid w:val="00BF089D"/>
    <w:rsid w:val="00BF115A"/>
    <w:rsid w:val="00BF2160"/>
    <w:rsid w:val="00BF28D3"/>
    <w:rsid w:val="00BF34FD"/>
    <w:rsid w:val="00BF44D0"/>
    <w:rsid w:val="00BF47A2"/>
    <w:rsid w:val="00BF4C79"/>
    <w:rsid w:val="00BF50F5"/>
    <w:rsid w:val="00BF600B"/>
    <w:rsid w:val="00BF629D"/>
    <w:rsid w:val="00BF6A37"/>
    <w:rsid w:val="00BF6B3E"/>
    <w:rsid w:val="00BF6F3A"/>
    <w:rsid w:val="00BF7877"/>
    <w:rsid w:val="00C000C3"/>
    <w:rsid w:val="00C00124"/>
    <w:rsid w:val="00C00D1E"/>
    <w:rsid w:val="00C00D4F"/>
    <w:rsid w:val="00C011B8"/>
    <w:rsid w:val="00C01772"/>
    <w:rsid w:val="00C01773"/>
    <w:rsid w:val="00C02EA1"/>
    <w:rsid w:val="00C03AAA"/>
    <w:rsid w:val="00C052EE"/>
    <w:rsid w:val="00C064B7"/>
    <w:rsid w:val="00C06850"/>
    <w:rsid w:val="00C07D9A"/>
    <w:rsid w:val="00C10E6A"/>
    <w:rsid w:val="00C11865"/>
    <w:rsid w:val="00C137FF"/>
    <w:rsid w:val="00C13C54"/>
    <w:rsid w:val="00C1400C"/>
    <w:rsid w:val="00C145EE"/>
    <w:rsid w:val="00C15EFA"/>
    <w:rsid w:val="00C16B43"/>
    <w:rsid w:val="00C16F35"/>
    <w:rsid w:val="00C17DEE"/>
    <w:rsid w:val="00C20B41"/>
    <w:rsid w:val="00C20B80"/>
    <w:rsid w:val="00C20C55"/>
    <w:rsid w:val="00C216DF"/>
    <w:rsid w:val="00C221D3"/>
    <w:rsid w:val="00C22290"/>
    <w:rsid w:val="00C2288E"/>
    <w:rsid w:val="00C2573E"/>
    <w:rsid w:val="00C25DE3"/>
    <w:rsid w:val="00C2644D"/>
    <w:rsid w:val="00C26C82"/>
    <w:rsid w:val="00C27F95"/>
    <w:rsid w:val="00C30033"/>
    <w:rsid w:val="00C30F9E"/>
    <w:rsid w:val="00C315B7"/>
    <w:rsid w:val="00C31C3D"/>
    <w:rsid w:val="00C35317"/>
    <w:rsid w:val="00C357B0"/>
    <w:rsid w:val="00C36E2C"/>
    <w:rsid w:val="00C36FD7"/>
    <w:rsid w:val="00C37CA0"/>
    <w:rsid w:val="00C40376"/>
    <w:rsid w:val="00C40869"/>
    <w:rsid w:val="00C40911"/>
    <w:rsid w:val="00C40AD5"/>
    <w:rsid w:val="00C4142D"/>
    <w:rsid w:val="00C418F4"/>
    <w:rsid w:val="00C41B5F"/>
    <w:rsid w:val="00C43843"/>
    <w:rsid w:val="00C455B0"/>
    <w:rsid w:val="00C47026"/>
    <w:rsid w:val="00C4712F"/>
    <w:rsid w:val="00C47340"/>
    <w:rsid w:val="00C51572"/>
    <w:rsid w:val="00C52AA1"/>
    <w:rsid w:val="00C53FB7"/>
    <w:rsid w:val="00C56912"/>
    <w:rsid w:val="00C579F1"/>
    <w:rsid w:val="00C605B0"/>
    <w:rsid w:val="00C612F5"/>
    <w:rsid w:val="00C615B5"/>
    <w:rsid w:val="00C62791"/>
    <w:rsid w:val="00C62F7E"/>
    <w:rsid w:val="00C631FC"/>
    <w:rsid w:val="00C63325"/>
    <w:rsid w:val="00C64239"/>
    <w:rsid w:val="00C6452E"/>
    <w:rsid w:val="00C64861"/>
    <w:rsid w:val="00C64B3C"/>
    <w:rsid w:val="00C64CA0"/>
    <w:rsid w:val="00C67416"/>
    <w:rsid w:val="00C67C09"/>
    <w:rsid w:val="00C67D45"/>
    <w:rsid w:val="00C716CB"/>
    <w:rsid w:val="00C7272D"/>
    <w:rsid w:val="00C73257"/>
    <w:rsid w:val="00C742C1"/>
    <w:rsid w:val="00C74B70"/>
    <w:rsid w:val="00C74F41"/>
    <w:rsid w:val="00C77FCA"/>
    <w:rsid w:val="00C80666"/>
    <w:rsid w:val="00C80A66"/>
    <w:rsid w:val="00C81481"/>
    <w:rsid w:val="00C81D74"/>
    <w:rsid w:val="00C81EEB"/>
    <w:rsid w:val="00C82693"/>
    <w:rsid w:val="00C8303E"/>
    <w:rsid w:val="00C83E01"/>
    <w:rsid w:val="00C849E1"/>
    <w:rsid w:val="00C852FB"/>
    <w:rsid w:val="00C85F51"/>
    <w:rsid w:val="00C8742D"/>
    <w:rsid w:val="00C9063B"/>
    <w:rsid w:val="00C91120"/>
    <w:rsid w:val="00C91E2B"/>
    <w:rsid w:val="00C922C9"/>
    <w:rsid w:val="00C92512"/>
    <w:rsid w:val="00C92E5D"/>
    <w:rsid w:val="00C93578"/>
    <w:rsid w:val="00C967C6"/>
    <w:rsid w:val="00C969E3"/>
    <w:rsid w:val="00C97EA4"/>
    <w:rsid w:val="00CA0F66"/>
    <w:rsid w:val="00CA1222"/>
    <w:rsid w:val="00CA1821"/>
    <w:rsid w:val="00CA1E51"/>
    <w:rsid w:val="00CA2BA8"/>
    <w:rsid w:val="00CA37DB"/>
    <w:rsid w:val="00CA3886"/>
    <w:rsid w:val="00CA4B58"/>
    <w:rsid w:val="00CA6EAB"/>
    <w:rsid w:val="00CA782D"/>
    <w:rsid w:val="00CA78D0"/>
    <w:rsid w:val="00CB03CA"/>
    <w:rsid w:val="00CB066E"/>
    <w:rsid w:val="00CB07B8"/>
    <w:rsid w:val="00CB156F"/>
    <w:rsid w:val="00CB222B"/>
    <w:rsid w:val="00CB3C55"/>
    <w:rsid w:val="00CB442D"/>
    <w:rsid w:val="00CB4DB0"/>
    <w:rsid w:val="00CB59C8"/>
    <w:rsid w:val="00CB6A88"/>
    <w:rsid w:val="00CB7B96"/>
    <w:rsid w:val="00CB7BE3"/>
    <w:rsid w:val="00CC094A"/>
    <w:rsid w:val="00CC1398"/>
    <w:rsid w:val="00CC18C8"/>
    <w:rsid w:val="00CC19A6"/>
    <w:rsid w:val="00CC1D1C"/>
    <w:rsid w:val="00CC1FA3"/>
    <w:rsid w:val="00CC2583"/>
    <w:rsid w:val="00CC2D9C"/>
    <w:rsid w:val="00CC3248"/>
    <w:rsid w:val="00CC39B9"/>
    <w:rsid w:val="00CC414E"/>
    <w:rsid w:val="00CC7D78"/>
    <w:rsid w:val="00CD0130"/>
    <w:rsid w:val="00CD0A61"/>
    <w:rsid w:val="00CD0A98"/>
    <w:rsid w:val="00CD0BFA"/>
    <w:rsid w:val="00CD1314"/>
    <w:rsid w:val="00CD3499"/>
    <w:rsid w:val="00CD47E5"/>
    <w:rsid w:val="00CD4CE9"/>
    <w:rsid w:val="00CD5468"/>
    <w:rsid w:val="00CD5723"/>
    <w:rsid w:val="00CD5B03"/>
    <w:rsid w:val="00CD5D6A"/>
    <w:rsid w:val="00CD76BA"/>
    <w:rsid w:val="00CE013D"/>
    <w:rsid w:val="00CE01E8"/>
    <w:rsid w:val="00CE1A5E"/>
    <w:rsid w:val="00CE3C0D"/>
    <w:rsid w:val="00CE46A9"/>
    <w:rsid w:val="00CE5181"/>
    <w:rsid w:val="00CE5C2A"/>
    <w:rsid w:val="00CE64BB"/>
    <w:rsid w:val="00CE665F"/>
    <w:rsid w:val="00CE6871"/>
    <w:rsid w:val="00CE6DA4"/>
    <w:rsid w:val="00CE7A7E"/>
    <w:rsid w:val="00CE7B30"/>
    <w:rsid w:val="00CF0897"/>
    <w:rsid w:val="00CF0D4E"/>
    <w:rsid w:val="00CF16A7"/>
    <w:rsid w:val="00CF1D62"/>
    <w:rsid w:val="00CF24A9"/>
    <w:rsid w:val="00CF39FB"/>
    <w:rsid w:val="00CF3C25"/>
    <w:rsid w:val="00CF5C93"/>
    <w:rsid w:val="00CF7376"/>
    <w:rsid w:val="00CF7B0C"/>
    <w:rsid w:val="00D001CC"/>
    <w:rsid w:val="00D00F65"/>
    <w:rsid w:val="00D0100E"/>
    <w:rsid w:val="00D01441"/>
    <w:rsid w:val="00D01C49"/>
    <w:rsid w:val="00D01D32"/>
    <w:rsid w:val="00D02413"/>
    <w:rsid w:val="00D033AE"/>
    <w:rsid w:val="00D03D04"/>
    <w:rsid w:val="00D0562D"/>
    <w:rsid w:val="00D06C73"/>
    <w:rsid w:val="00D07F51"/>
    <w:rsid w:val="00D10452"/>
    <w:rsid w:val="00D120CD"/>
    <w:rsid w:val="00D13550"/>
    <w:rsid w:val="00D14759"/>
    <w:rsid w:val="00D150E6"/>
    <w:rsid w:val="00D157B0"/>
    <w:rsid w:val="00D1592B"/>
    <w:rsid w:val="00D15B4F"/>
    <w:rsid w:val="00D16101"/>
    <w:rsid w:val="00D1664B"/>
    <w:rsid w:val="00D17D56"/>
    <w:rsid w:val="00D20364"/>
    <w:rsid w:val="00D20419"/>
    <w:rsid w:val="00D20567"/>
    <w:rsid w:val="00D20B9E"/>
    <w:rsid w:val="00D20D18"/>
    <w:rsid w:val="00D21A34"/>
    <w:rsid w:val="00D21B0C"/>
    <w:rsid w:val="00D22D41"/>
    <w:rsid w:val="00D2315B"/>
    <w:rsid w:val="00D23556"/>
    <w:rsid w:val="00D23D3A"/>
    <w:rsid w:val="00D24810"/>
    <w:rsid w:val="00D24A27"/>
    <w:rsid w:val="00D257C4"/>
    <w:rsid w:val="00D260D5"/>
    <w:rsid w:val="00D300F0"/>
    <w:rsid w:val="00D30F0A"/>
    <w:rsid w:val="00D31EF8"/>
    <w:rsid w:val="00D31FE8"/>
    <w:rsid w:val="00D32BEA"/>
    <w:rsid w:val="00D330A2"/>
    <w:rsid w:val="00D35154"/>
    <w:rsid w:val="00D3552F"/>
    <w:rsid w:val="00D3585E"/>
    <w:rsid w:val="00D40BE2"/>
    <w:rsid w:val="00D416D8"/>
    <w:rsid w:val="00D42199"/>
    <w:rsid w:val="00D42971"/>
    <w:rsid w:val="00D436AB"/>
    <w:rsid w:val="00D43702"/>
    <w:rsid w:val="00D43DC0"/>
    <w:rsid w:val="00D45279"/>
    <w:rsid w:val="00D4548A"/>
    <w:rsid w:val="00D4633F"/>
    <w:rsid w:val="00D47CEE"/>
    <w:rsid w:val="00D504CB"/>
    <w:rsid w:val="00D51B1A"/>
    <w:rsid w:val="00D53A7B"/>
    <w:rsid w:val="00D547C5"/>
    <w:rsid w:val="00D54AB2"/>
    <w:rsid w:val="00D54B84"/>
    <w:rsid w:val="00D55D6D"/>
    <w:rsid w:val="00D56260"/>
    <w:rsid w:val="00D56908"/>
    <w:rsid w:val="00D56B4C"/>
    <w:rsid w:val="00D57621"/>
    <w:rsid w:val="00D61755"/>
    <w:rsid w:val="00D627E1"/>
    <w:rsid w:val="00D62A47"/>
    <w:rsid w:val="00D6332C"/>
    <w:rsid w:val="00D63CFF"/>
    <w:rsid w:val="00D64E35"/>
    <w:rsid w:val="00D64EE3"/>
    <w:rsid w:val="00D657BF"/>
    <w:rsid w:val="00D65C4C"/>
    <w:rsid w:val="00D66351"/>
    <w:rsid w:val="00D66AE2"/>
    <w:rsid w:val="00D676CD"/>
    <w:rsid w:val="00D6790A"/>
    <w:rsid w:val="00D67DA3"/>
    <w:rsid w:val="00D704C1"/>
    <w:rsid w:val="00D70853"/>
    <w:rsid w:val="00D711F1"/>
    <w:rsid w:val="00D73566"/>
    <w:rsid w:val="00D744B9"/>
    <w:rsid w:val="00D7461D"/>
    <w:rsid w:val="00D74B37"/>
    <w:rsid w:val="00D74B4E"/>
    <w:rsid w:val="00D7517C"/>
    <w:rsid w:val="00D765D3"/>
    <w:rsid w:val="00D76DAD"/>
    <w:rsid w:val="00D772CF"/>
    <w:rsid w:val="00D804F7"/>
    <w:rsid w:val="00D805A8"/>
    <w:rsid w:val="00D80B71"/>
    <w:rsid w:val="00D80D2A"/>
    <w:rsid w:val="00D81381"/>
    <w:rsid w:val="00D81D1E"/>
    <w:rsid w:val="00D82A2E"/>
    <w:rsid w:val="00D8356F"/>
    <w:rsid w:val="00D83748"/>
    <w:rsid w:val="00D839F3"/>
    <w:rsid w:val="00D83DBD"/>
    <w:rsid w:val="00D84848"/>
    <w:rsid w:val="00D84C70"/>
    <w:rsid w:val="00D87267"/>
    <w:rsid w:val="00D8730D"/>
    <w:rsid w:val="00D87357"/>
    <w:rsid w:val="00D87D5F"/>
    <w:rsid w:val="00D90429"/>
    <w:rsid w:val="00D907B3"/>
    <w:rsid w:val="00D93055"/>
    <w:rsid w:val="00D93FBC"/>
    <w:rsid w:val="00D94058"/>
    <w:rsid w:val="00D94FB1"/>
    <w:rsid w:val="00D96154"/>
    <w:rsid w:val="00D9720D"/>
    <w:rsid w:val="00D975B9"/>
    <w:rsid w:val="00D975E4"/>
    <w:rsid w:val="00D9774F"/>
    <w:rsid w:val="00DA0E64"/>
    <w:rsid w:val="00DA0FA6"/>
    <w:rsid w:val="00DA177F"/>
    <w:rsid w:val="00DA17F7"/>
    <w:rsid w:val="00DA188F"/>
    <w:rsid w:val="00DA1B8B"/>
    <w:rsid w:val="00DA2539"/>
    <w:rsid w:val="00DA2F50"/>
    <w:rsid w:val="00DA3332"/>
    <w:rsid w:val="00DA386F"/>
    <w:rsid w:val="00DA395C"/>
    <w:rsid w:val="00DA3BD6"/>
    <w:rsid w:val="00DA59BC"/>
    <w:rsid w:val="00DA625C"/>
    <w:rsid w:val="00DA66B3"/>
    <w:rsid w:val="00DA6D24"/>
    <w:rsid w:val="00DA79FB"/>
    <w:rsid w:val="00DA7EA3"/>
    <w:rsid w:val="00DB0CB5"/>
    <w:rsid w:val="00DB10D3"/>
    <w:rsid w:val="00DB11ED"/>
    <w:rsid w:val="00DB12C5"/>
    <w:rsid w:val="00DB13E9"/>
    <w:rsid w:val="00DB18CC"/>
    <w:rsid w:val="00DB1F55"/>
    <w:rsid w:val="00DB2576"/>
    <w:rsid w:val="00DB31B8"/>
    <w:rsid w:val="00DB3BE8"/>
    <w:rsid w:val="00DB3C80"/>
    <w:rsid w:val="00DB487F"/>
    <w:rsid w:val="00DB4FC9"/>
    <w:rsid w:val="00DB5328"/>
    <w:rsid w:val="00DB57F8"/>
    <w:rsid w:val="00DB6329"/>
    <w:rsid w:val="00DB6520"/>
    <w:rsid w:val="00DB70CB"/>
    <w:rsid w:val="00DB73B2"/>
    <w:rsid w:val="00DC01E5"/>
    <w:rsid w:val="00DC0DEB"/>
    <w:rsid w:val="00DC13A4"/>
    <w:rsid w:val="00DC219F"/>
    <w:rsid w:val="00DC3E0A"/>
    <w:rsid w:val="00DC3EC0"/>
    <w:rsid w:val="00DC5F40"/>
    <w:rsid w:val="00DD0054"/>
    <w:rsid w:val="00DD083A"/>
    <w:rsid w:val="00DD0E9F"/>
    <w:rsid w:val="00DD16B0"/>
    <w:rsid w:val="00DD2505"/>
    <w:rsid w:val="00DD390A"/>
    <w:rsid w:val="00DD5580"/>
    <w:rsid w:val="00DD5840"/>
    <w:rsid w:val="00DD64FF"/>
    <w:rsid w:val="00DD6B79"/>
    <w:rsid w:val="00DE1642"/>
    <w:rsid w:val="00DE1746"/>
    <w:rsid w:val="00DE1A9E"/>
    <w:rsid w:val="00DE20E0"/>
    <w:rsid w:val="00DE2848"/>
    <w:rsid w:val="00DE2AF6"/>
    <w:rsid w:val="00DE50F9"/>
    <w:rsid w:val="00DE511E"/>
    <w:rsid w:val="00DE53AC"/>
    <w:rsid w:val="00DE576F"/>
    <w:rsid w:val="00DE67DD"/>
    <w:rsid w:val="00DF30C6"/>
    <w:rsid w:val="00DF3A08"/>
    <w:rsid w:val="00DF4E34"/>
    <w:rsid w:val="00DF68F7"/>
    <w:rsid w:val="00DF6ABD"/>
    <w:rsid w:val="00DF6F7E"/>
    <w:rsid w:val="00DF7892"/>
    <w:rsid w:val="00DF7C08"/>
    <w:rsid w:val="00E00427"/>
    <w:rsid w:val="00E006C5"/>
    <w:rsid w:val="00E01C8E"/>
    <w:rsid w:val="00E01E06"/>
    <w:rsid w:val="00E033F9"/>
    <w:rsid w:val="00E03CC2"/>
    <w:rsid w:val="00E048E3"/>
    <w:rsid w:val="00E054A5"/>
    <w:rsid w:val="00E077D3"/>
    <w:rsid w:val="00E07BDA"/>
    <w:rsid w:val="00E10222"/>
    <w:rsid w:val="00E1054A"/>
    <w:rsid w:val="00E105B9"/>
    <w:rsid w:val="00E112B6"/>
    <w:rsid w:val="00E11384"/>
    <w:rsid w:val="00E12000"/>
    <w:rsid w:val="00E136D0"/>
    <w:rsid w:val="00E13DF8"/>
    <w:rsid w:val="00E1449E"/>
    <w:rsid w:val="00E14595"/>
    <w:rsid w:val="00E17375"/>
    <w:rsid w:val="00E17387"/>
    <w:rsid w:val="00E174DA"/>
    <w:rsid w:val="00E2042E"/>
    <w:rsid w:val="00E21CDA"/>
    <w:rsid w:val="00E221C4"/>
    <w:rsid w:val="00E2282C"/>
    <w:rsid w:val="00E22A3A"/>
    <w:rsid w:val="00E24FE0"/>
    <w:rsid w:val="00E2516E"/>
    <w:rsid w:val="00E25B67"/>
    <w:rsid w:val="00E267C9"/>
    <w:rsid w:val="00E2768C"/>
    <w:rsid w:val="00E27E10"/>
    <w:rsid w:val="00E3027F"/>
    <w:rsid w:val="00E305D7"/>
    <w:rsid w:val="00E309A9"/>
    <w:rsid w:val="00E31711"/>
    <w:rsid w:val="00E3250F"/>
    <w:rsid w:val="00E33217"/>
    <w:rsid w:val="00E3324B"/>
    <w:rsid w:val="00E3362A"/>
    <w:rsid w:val="00E33631"/>
    <w:rsid w:val="00E34C0D"/>
    <w:rsid w:val="00E35C20"/>
    <w:rsid w:val="00E35D22"/>
    <w:rsid w:val="00E3643A"/>
    <w:rsid w:val="00E36A86"/>
    <w:rsid w:val="00E36C8F"/>
    <w:rsid w:val="00E36EF0"/>
    <w:rsid w:val="00E406C0"/>
    <w:rsid w:val="00E40C7B"/>
    <w:rsid w:val="00E40D55"/>
    <w:rsid w:val="00E4118A"/>
    <w:rsid w:val="00E413F0"/>
    <w:rsid w:val="00E41EBF"/>
    <w:rsid w:val="00E42DD4"/>
    <w:rsid w:val="00E43013"/>
    <w:rsid w:val="00E43564"/>
    <w:rsid w:val="00E43D74"/>
    <w:rsid w:val="00E44B85"/>
    <w:rsid w:val="00E44BAA"/>
    <w:rsid w:val="00E44FEE"/>
    <w:rsid w:val="00E45075"/>
    <w:rsid w:val="00E45F2D"/>
    <w:rsid w:val="00E46629"/>
    <w:rsid w:val="00E466C3"/>
    <w:rsid w:val="00E47511"/>
    <w:rsid w:val="00E47F09"/>
    <w:rsid w:val="00E50012"/>
    <w:rsid w:val="00E5156D"/>
    <w:rsid w:val="00E51E1D"/>
    <w:rsid w:val="00E52216"/>
    <w:rsid w:val="00E526CD"/>
    <w:rsid w:val="00E52979"/>
    <w:rsid w:val="00E544D6"/>
    <w:rsid w:val="00E55C8B"/>
    <w:rsid w:val="00E577DA"/>
    <w:rsid w:val="00E606AE"/>
    <w:rsid w:val="00E612BA"/>
    <w:rsid w:val="00E61709"/>
    <w:rsid w:val="00E66808"/>
    <w:rsid w:val="00E67BE2"/>
    <w:rsid w:val="00E70036"/>
    <w:rsid w:val="00E708E9"/>
    <w:rsid w:val="00E733DA"/>
    <w:rsid w:val="00E73DC7"/>
    <w:rsid w:val="00E73DD8"/>
    <w:rsid w:val="00E75B56"/>
    <w:rsid w:val="00E75FA2"/>
    <w:rsid w:val="00E76F59"/>
    <w:rsid w:val="00E773EE"/>
    <w:rsid w:val="00E77403"/>
    <w:rsid w:val="00E77430"/>
    <w:rsid w:val="00E777E3"/>
    <w:rsid w:val="00E77EB4"/>
    <w:rsid w:val="00E80604"/>
    <w:rsid w:val="00E81940"/>
    <w:rsid w:val="00E81BAC"/>
    <w:rsid w:val="00E81E0B"/>
    <w:rsid w:val="00E83871"/>
    <w:rsid w:val="00E84A39"/>
    <w:rsid w:val="00E854C8"/>
    <w:rsid w:val="00E85DF7"/>
    <w:rsid w:val="00E865BB"/>
    <w:rsid w:val="00E8726C"/>
    <w:rsid w:val="00E903DA"/>
    <w:rsid w:val="00E9091C"/>
    <w:rsid w:val="00E90962"/>
    <w:rsid w:val="00E90A98"/>
    <w:rsid w:val="00E90F33"/>
    <w:rsid w:val="00E92AEA"/>
    <w:rsid w:val="00E9453E"/>
    <w:rsid w:val="00E94549"/>
    <w:rsid w:val="00E94939"/>
    <w:rsid w:val="00E9494E"/>
    <w:rsid w:val="00E94BE0"/>
    <w:rsid w:val="00E94CD0"/>
    <w:rsid w:val="00E9580A"/>
    <w:rsid w:val="00E95ACD"/>
    <w:rsid w:val="00E96594"/>
    <w:rsid w:val="00E966C2"/>
    <w:rsid w:val="00E96A9D"/>
    <w:rsid w:val="00E971B9"/>
    <w:rsid w:val="00E9726F"/>
    <w:rsid w:val="00E97299"/>
    <w:rsid w:val="00E97883"/>
    <w:rsid w:val="00EA016B"/>
    <w:rsid w:val="00EA0FEF"/>
    <w:rsid w:val="00EA1E25"/>
    <w:rsid w:val="00EA33ED"/>
    <w:rsid w:val="00EA359F"/>
    <w:rsid w:val="00EA5082"/>
    <w:rsid w:val="00EA5313"/>
    <w:rsid w:val="00EA56E2"/>
    <w:rsid w:val="00EA5779"/>
    <w:rsid w:val="00EA5D8B"/>
    <w:rsid w:val="00EA653D"/>
    <w:rsid w:val="00EA7439"/>
    <w:rsid w:val="00EA7D83"/>
    <w:rsid w:val="00EB0ADC"/>
    <w:rsid w:val="00EB0B54"/>
    <w:rsid w:val="00EB0EAC"/>
    <w:rsid w:val="00EB1A02"/>
    <w:rsid w:val="00EB205D"/>
    <w:rsid w:val="00EB2940"/>
    <w:rsid w:val="00EB3948"/>
    <w:rsid w:val="00EB39A9"/>
    <w:rsid w:val="00EB402B"/>
    <w:rsid w:val="00EB5ECC"/>
    <w:rsid w:val="00EB6127"/>
    <w:rsid w:val="00EB6F4A"/>
    <w:rsid w:val="00EC0731"/>
    <w:rsid w:val="00EC28AE"/>
    <w:rsid w:val="00EC33A0"/>
    <w:rsid w:val="00EC35F8"/>
    <w:rsid w:val="00EC42ED"/>
    <w:rsid w:val="00EC4CF1"/>
    <w:rsid w:val="00EC54C8"/>
    <w:rsid w:val="00EC6374"/>
    <w:rsid w:val="00EC7143"/>
    <w:rsid w:val="00EC792A"/>
    <w:rsid w:val="00EC7EF8"/>
    <w:rsid w:val="00ED0260"/>
    <w:rsid w:val="00ED0BD7"/>
    <w:rsid w:val="00ED0DBE"/>
    <w:rsid w:val="00ED18DD"/>
    <w:rsid w:val="00ED18F0"/>
    <w:rsid w:val="00ED2E36"/>
    <w:rsid w:val="00ED3BAA"/>
    <w:rsid w:val="00ED437A"/>
    <w:rsid w:val="00ED48E0"/>
    <w:rsid w:val="00ED7018"/>
    <w:rsid w:val="00ED7D85"/>
    <w:rsid w:val="00EE0541"/>
    <w:rsid w:val="00EE066C"/>
    <w:rsid w:val="00EE0C52"/>
    <w:rsid w:val="00EE16D7"/>
    <w:rsid w:val="00EE2D7F"/>
    <w:rsid w:val="00EE2EE2"/>
    <w:rsid w:val="00EE36D8"/>
    <w:rsid w:val="00EE3B34"/>
    <w:rsid w:val="00EE42A4"/>
    <w:rsid w:val="00EE47E1"/>
    <w:rsid w:val="00EE516A"/>
    <w:rsid w:val="00EE53F1"/>
    <w:rsid w:val="00EE59AF"/>
    <w:rsid w:val="00EE6123"/>
    <w:rsid w:val="00EE7254"/>
    <w:rsid w:val="00EF0A28"/>
    <w:rsid w:val="00EF170C"/>
    <w:rsid w:val="00EF253C"/>
    <w:rsid w:val="00EF404B"/>
    <w:rsid w:val="00EF7014"/>
    <w:rsid w:val="00F01D21"/>
    <w:rsid w:val="00F01D65"/>
    <w:rsid w:val="00F02775"/>
    <w:rsid w:val="00F02B73"/>
    <w:rsid w:val="00F02C47"/>
    <w:rsid w:val="00F02F86"/>
    <w:rsid w:val="00F03ED5"/>
    <w:rsid w:val="00F042C0"/>
    <w:rsid w:val="00F04319"/>
    <w:rsid w:val="00F0431D"/>
    <w:rsid w:val="00F046F8"/>
    <w:rsid w:val="00F04953"/>
    <w:rsid w:val="00F04CE3"/>
    <w:rsid w:val="00F05313"/>
    <w:rsid w:val="00F05DCE"/>
    <w:rsid w:val="00F07AC7"/>
    <w:rsid w:val="00F11149"/>
    <w:rsid w:val="00F11359"/>
    <w:rsid w:val="00F14141"/>
    <w:rsid w:val="00F14437"/>
    <w:rsid w:val="00F14A04"/>
    <w:rsid w:val="00F152E3"/>
    <w:rsid w:val="00F1585D"/>
    <w:rsid w:val="00F16332"/>
    <w:rsid w:val="00F172FE"/>
    <w:rsid w:val="00F177C3"/>
    <w:rsid w:val="00F229E5"/>
    <w:rsid w:val="00F24851"/>
    <w:rsid w:val="00F25C45"/>
    <w:rsid w:val="00F26550"/>
    <w:rsid w:val="00F26C02"/>
    <w:rsid w:val="00F26C79"/>
    <w:rsid w:val="00F275A8"/>
    <w:rsid w:val="00F275D5"/>
    <w:rsid w:val="00F304B0"/>
    <w:rsid w:val="00F31441"/>
    <w:rsid w:val="00F318E9"/>
    <w:rsid w:val="00F31D38"/>
    <w:rsid w:val="00F31D60"/>
    <w:rsid w:val="00F31DF1"/>
    <w:rsid w:val="00F325B6"/>
    <w:rsid w:val="00F32BC2"/>
    <w:rsid w:val="00F32BDC"/>
    <w:rsid w:val="00F32C43"/>
    <w:rsid w:val="00F3413C"/>
    <w:rsid w:val="00F35578"/>
    <w:rsid w:val="00F37DD0"/>
    <w:rsid w:val="00F4069E"/>
    <w:rsid w:val="00F40A5A"/>
    <w:rsid w:val="00F41F36"/>
    <w:rsid w:val="00F42646"/>
    <w:rsid w:val="00F43416"/>
    <w:rsid w:val="00F45859"/>
    <w:rsid w:val="00F45E75"/>
    <w:rsid w:val="00F46207"/>
    <w:rsid w:val="00F464DD"/>
    <w:rsid w:val="00F46608"/>
    <w:rsid w:val="00F469F9"/>
    <w:rsid w:val="00F46E88"/>
    <w:rsid w:val="00F4746D"/>
    <w:rsid w:val="00F5098F"/>
    <w:rsid w:val="00F51BAB"/>
    <w:rsid w:val="00F52069"/>
    <w:rsid w:val="00F520AF"/>
    <w:rsid w:val="00F528A6"/>
    <w:rsid w:val="00F52F5A"/>
    <w:rsid w:val="00F5398A"/>
    <w:rsid w:val="00F54344"/>
    <w:rsid w:val="00F556DF"/>
    <w:rsid w:val="00F55A65"/>
    <w:rsid w:val="00F56027"/>
    <w:rsid w:val="00F56219"/>
    <w:rsid w:val="00F56F15"/>
    <w:rsid w:val="00F56FC4"/>
    <w:rsid w:val="00F57AF9"/>
    <w:rsid w:val="00F604A9"/>
    <w:rsid w:val="00F604FA"/>
    <w:rsid w:val="00F60DF3"/>
    <w:rsid w:val="00F60F66"/>
    <w:rsid w:val="00F61809"/>
    <w:rsid w:val="00F61914"/>
    <w:rsid w:val="00F637F0"/>
    <w:rsid w:val="00F63E8A"/>
    <w:rsid w:val="00F64545"/>
    <w:rsid w:val="00F645D1"/>
    <w:rsid w:val="00F64D33"/>
    <w:rsid w:val="00F6510F"/>
    <w:rsid w:val="00F65328"/>
    <w:rsid w:val="00F658C1"/>
    <w:rsid w:val="00F65EF9"/>
    <w:rsid w:val="00F66186"/>
    <w:rsid w:val="00F666B1"/>
    <w:rsid w:val="00F66B2D"/>
    <w:rsid w:val="00F66C1F"/>
    <w:rsid w:val="00F66EA3"/>
    <w:rsid w:val="00F6728E"/>
    <w:rsid w:val="00F676E6"/>
    <w:rsid w:val="00F6782C"/>
    <w:rsid w:val="00F70839"/>
    <w:rsid w:val="00F70CD3"/>
    <w:rsid w:val="00F7201C"/>
    <w:rsid w:val="00F7293A"/>
    <w:rsid w:val="00F72975"/>
    <w:rsid w:val="00F74397"/>
    <w:rsid w:val="00F75274"/>
    <w:rsid w:val="00F75FB6"/>
    <w:rsid w:val="00F763CE"/>
    <w:rsid w:val="00F775AC"/>
    <w:rsid w:val="00F8106D"/>
    <w:rsid w:val="00F819FE"/>
    <w:rsid w:val="00F829DA"/>
    <w:rsid w:val="00F83701"/>
    <w:rsid w:val="00F83E29"/>
    <w:rsid w:val="00F841A6"/>
    <w:rsid w:val="00F84262"/>
    <w:rsid w:val="00F846FB"/>
    <w:rsid w:val="00F8570E"/>
    <w:rsid w:val="00F870C3"/>
    <w:rsid w:val="00F87F0C"/>
    <w:rsid w:val="00F901BB"/>
    <w:rsid w:val="00F90960"/>
    <w:rsid w:val="00F91025"/>
    <w:rsid w:val="00F9254D"/>
    <w:rsid w:val="00F929F5"/>
    <w:rsid w:val="00F931C9"/>
    <w:rsid w:val="00F941F5"/>
    <w:rsid w:val="00F96C49"/>
    <w:rsid w:val="00F97590"/>
    <w:rsid w:val="00F97976"/>
    <w:rsid w:val="00FA03A8"/>
    <w:rsid w:val="00FA1828"/>
    <w:rsid w:val="00FA1B00"/>
    <w:rsid w:val="00FA2CFA"/>
    <w:rsid w:val="00FA2F29"/>
    <w:rsid w:val="00FA3477"/>
    <w:rsid w:val="00FA3C9E"/>
    <w:rsid w:val="00FA4158"/>
    <w:rsid w:val="00FA466D"/>
    <w:rsid w:val="00FA47EA"/>
    <w:rsid w:val="00FA4A4A"/>
    <w:rsid w:val="00FA4ECD"/>
    <w:rsid w:val="00FA7D2E"/>
    <w:rsid w:val="00FB095A"/>
    <w:rsid w:val="00FB0F4A"/>
    <w:rsid w:val="00FB31F9"/>
    <w:rsid w:val="00FB49BF"/>
    <w:rsid w:val="00FB505C"/>
    <w:rsid w:val="00FB5193"/>
    <w:rsid w:val="00FB6A22"/>
    <w:rsid w:val="00FB7095"/>
    <w:rsid w:val="00FB77A3"/>
    <w:rsid w:val="00FB7BD8"/>
    <w:rsid w:val="00FB7C64"/>
    <w:rsid w:val="00FC3878"/>
    <w:rsid w:val="00FC3A0A"/>
    <w:rsid w:val="00FC4321"/>
    <w:rsid w:val="00FC4B91"/>
    <w:rsid w:val="00FC5C26"/>
    <w:rsid w:val="00FC6A4B"/>
    <w:rsid w:val="00FC73A4"/>
    <w:rsid w:val="00FD04AA"/>
    <w:rsid w:val="00FD23C7"/>
    <w:rsid w:val="00FD38B4"/>
    <w:rsid w:val="00FD3BF7"/>
    <w:rsid w:val="00FD3CBD"/>
    <w:rsid w:val="00FD492F"/>
    <w:rsid w:val="00FD4D1C"/>
    <w:rsid w:val="00FD585F"/>
    <w:rsid w:val="00FD6C8C"/>
    <w:rsid w:val="00FE0C68"/>
    <w:rsid w:val="00FE0C9F"/>
    <w:rsid w:val="00FE0D63"/>
    <w:rsid w:val="00FE1134"/>
    <w:rsid w:val="00FE171C"/>
    <w:rsid w:val="00FE19A4"/>
    <w:rsid w:val="00FE4FC1"/>
    <w:rsid w:val="00FE5F14"/>
    <w:rsid w:val="00FE63D1"/>
    <w:rsid w:val="00FE6CDC"/>
    <w:rsid w:val="00FE7410"/>
    <w:rsid w:val="00FF07CC"/>
    <w:rsid w:val="00FF0B71"/>
    <w:rsid w:val="00FF14E7"/>
    <w:rsid w:val="00FF170D"/>
    <w:rsid w:val="00FF1D59"/>
    <w:rsid w:val="00FF1FF6"/>
    <w:rsid w:val="00FF205F"/>
    <w:rsid w:val="00FF2394"/>
    <w:rsid w:val="00FF3907"/>
    <w:rsid w:val="00FF4D74"/>
    <w:rsid w:val="086E29A6"/>
    <w:rsid w:val="0D2F1BF9"/>
    <w:rsid w:val="2019003B"/>
    <w:rsid w:val="31D406CB"/>
    <w:rsid w:val="4E924879"/>
    <w:rsid w:val="558A7170"/>
    <w:rsid w:val="5C646B5B"/>
    <w:rsid w:val="5DC14B28"/>
    <w:rsid w:val="64D22B11"/>
    <w:rsid w:val="69C1471E"/>
    <w:rsid w:val="6ACF764A"/>
    <w:rsid w:val="7B58492C"/>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38"/>
    <w:qFormat/>
    <w:uiPriority w:val="99"/>
    <w:pPr>
      <w:keepNext/>
      <w:spacing w:after="0" w:line="240" w:lineRule="auto"/>
      <w:jc w:val="center"/>
      <w:outlineLvl w:val="0"/>
    </w:pPr>
    <w:rPr>
      <w:rFonts w:ascii="Arial" w:hAnsi="Arial" w:eastAsia="Calibri" w:cs="Arial"/>
      <w:sz w:val="24"/>
      <w:szCs w:val="24"/>
    </w:rPr>
  </w:style>
  <w:style w:type="paragraph" w:styleId="3">
    <w:name w:val="heading 2"/>
    <w:basedOn w:val="1"/>
    <w:next w:val="1"/>
    <w:link w:val="41"/>
    <w:unhideWhenUsed/>
    <w:qFormat/>
    <w:uiPriority w:val="9"/>
    <w:pPr>
      <w:keepNext/>
      <w:keepLines/>
      <w:spacing w:before="40" w:after="0"/>
      <w:outlineLvl w:val="1"/>
    </w:pPr>
    <w:rPr>
      <w:rFonts w:asciiTheme="majorHAnsi" w:hAnsiTheme="majorHAnsi" w:eastAsiaTheme="majorEastAsia" w:cstheme="majorBidi"/>
      <w:b/>
      <w:color w:val="000000" w:themeColor="text1"/>
      <w:sz w:val="26"/>
      <w:szCs w:val="26"/>
      <w14:textFill>
        <w14:solidFill>
          <w14:schemeClr w14:val="tx1"/>
        </w14:solidFill>
      </w14:textFill>
    </w:rPr>
  </w:style>
  <w:style w:type="paragraph" w:styleId="4">
    <w:name w:val="heading 3"/>
    <w:basedOn w:val="1"/>
    <w:next w:val="1"/>
    <w:link w:val="43"/>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paragraph" w:styleId="5">
    <w:name w:val="heading 4"/>
    <w:basedOn w:val="1"/>
    <w:next w:val="1"/>
    <w:link w:val="44"/>
    <w:unhideWhenUsed/>
    <w:qFormat/>
    <w:uiPriority w:val="9"/>
    <w:pPr>
      <w:keepNext/>
      <w:keepLines/>
      <w:spacing w:before="40" w:after="0"/>
      <w:outlineLvl w:val="3"/>
    </w:pPr>
    <w:rPr>
      <w:rFonts w:asciiTheme="majorHAnsi" w:hAnsiTheme="majorHAnsi" w:eastAsiaTheme="majorEastAsia" w:cstheme="majorBidi"/>
      <w:i/>
      <w:iCs/>
      <w:color w:val="2F5597" w:themeColor="accent1" w:themeShade="BF"/>
    </w:rPr>
  </w:style>
  <w:style w:type="character" w:default="1" w:styleId="6">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8">
    <w:name w:val="Balloon Text"/>
    <w:basedOn w:val="1"/>
    <w:link w:val="35"/>
    <w:semiHidden/>
    <w:unhideWhenUsed/>
    <w:qFormat/>
    <w:uiPriority w:val="99"/>
    <w:pPr>
      <w:spacing w:after="0" w:line="240" w:lineRule="auto"/>
    </w:pPr>
    <w:rPr>
      <w:rFonts w:ascii="Segoe UI" w:hAnsi="Segoe UI" w:cs="Segoe UI"/>
      <w:sz w:val="18"/>
      <w:szCs w:val="18"/>
    </w:rPr>
  </w:style>
  <w:style w:type="paragraph" w:styleId="9">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character" w:styleId="10">
    <w:name w:val="annotation reference"/>
    <w:basedOn w:val="6"/>
    <w:semiHidden/>
    <w:unhideWhenUsed/>
    <w:qFormat/>
    <w:uiPriority w:val="99"/>
    <w:rPr>
      <w:sz w:val="16"/>
      <w:szCs w:val="16"/>
    </w:rPr>
  </w:style>
  <w:style w:type="paragraph" w:styleId="11">
    <w:name w:val="annotation text"/>
    <w:basedOn w:val="1"/>
    <w:link w:val="33"/>
    <w:semiHidden/>
    <w:unhideWhenUsed/>
    <w:qFormat/>
    <w:uiPriority w:val="99"/>
    <w:pPr>
      <w:spacing w:line="240" w:lineRule="auto"/>
    </w:pPr>
    <w:rPr>
      <w:sz w:val="20"/>
      <w:szCs w:val="20"/>
    </w:rPr>
  </w:style>
  <w:style w:type="paragraph" w:styleId="12">
    <w:name w:val="annotation subject"/>
    <w:basedOn w:val="11"/>
    <w:next w:val="11"/>
    <w:link w:val="34"/>
    <w:semiHidden/>
    <w:unhideWhenUsed/>
    <w:qFormat/>
    <w:uiPriority w:val="99"/>
    <w:rPr>
      <w:b/>
      <w:bCs/>
    </w:rPr>
  </w:style>
  <w:style w:type="character" w:styleId="13">
    <w:name w:val="Emphasis"/>
    <w:basedOn w:val="6"/>
    <w:qFormat/>
    <w:uiPriority w:val="20"/>
    <w:rPr>
      <w:i/>
      <w:iCs/>
    </w:rPr>
  </w:style>
  <w:style w:type="paragraph" w:styleId="14">
    <w:name w:val="footer"/>
    <w:basedOn w:val="1"/>
    <w:link w:val="31"/>
    <w:unhideWhenUsed/>
    <w:qFormat/>
    <w:uiPriority w:val="99"/>
    <w:pPr>
      <w:tabs>
        <w:tab w:val="center" w:pos="4680"/>
        <w:tab w:val="right" w:pos="9360"/>
      </w:tabs>
      <w:spacing w:after="0" w:line="240" w:lineRule="auto"/>
    </w:pPr>
  </w:style>
  <w:style w:type="paragraph" w:styleId="15">
    <w:name w:val="header"/>
    <w:basedOn w:val="1"/>
    <w:link w:val="30"/>
    <w:unhideWhenUsed/>
    <w:qFormat/>
    <w:uiPriority w:val="99"/>
    <w:pPr>
      <w:tabs>
        <w:tab w:val="center" w:pos="4680"/>
        <w:tab w:val="right" w:pos="9360"/>
      </w:tabs>
      <w:spacing w:after="0" w:line="240" w:lineRule="auto"/>
    </w:pPr>
  </w:style>
  <w:style w:type="character" w:styleId="16">
    <w:name w:val="Hyperlink"/>
    <w:basedOn w:val="6"/>
    <w:unhideWhenUsed/>
    <w:qFormat/>
    <w:uiPriority w:val="99"/>
    <w:rPr>
      <w:color w:val="0000FF"/>
      <w:u w:val="single"/>
    </w:rPr>
  </w:style>
  <w:style w:type="paragraph" w:styleId="17">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8">
    <w:name w:val="Strong"/>
    <w:basedOn w:val="6"/>
    <w:qFormat/>
    <w:uiPriority w:val="22"/>
    <w:rPr>
      <w:b/>
      <w:bCs/>
    </w:rPr>
  </w:style>
  <w:style w:type="table" w:styleId="19">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0">
    <w:name w:val="table of figures"/>
    <w:basedOn w:val="1"/>
    <w:next w:val="1"/>
    <w:unhideWhenUsed/>
    <w:qFormat/>
    <w:uiPriority w:val="99"/>
    <w:pPr>
      <w:spacing w:after="0"/>
    </w:pPr>
  </w:style>
  <w:style w:type="paragraph" w:styleId="21">
    <w:name w:val="toc 1"/>
    <w:basedOn w:val="1"/>
    <w:next w:val="1"/>
    <w:unhideWhenUsed/>
    <w:qFormat/>
    <w:uiPriority w:val="39"/>
    <w:pPr>
      <w:spacing w:after="100"/>
    </w:pPr>
  </w:style>
  <w:style w:type="paragraph" w:styleId="22">
    <w:name w:val="toc 2"/>
    <w:basedOn w:val="1"/>
    <w:next w:val="1"/>
    <w:unhideWhenUsed/>
    <w:qFormat/>
    <w:uiPriority w:val="39"/>
    <w:pPr>
      <w:spacing w:after="100"/>
      <w:ind w:left="220"/>
    </w:pPr>
  </w:style>
  <w:style w:type="paragraph" w:styleId="23">
    <w:name w:val="toc 3"/>
    <w:basedOn w:val="1"/>
    <w:next w:val="1"/>
    <w:unhideWhenUsed/>
    <w:qFormat/>
    <w:uiPriority w:val="39"/>
    <w:pPr>
      <w:spacing w:after="100"/>
      <w:ind w:left="440"/>
    </w:pPr>
  </w:style>
  <w:style w:type="paragraph" w:styleId="24">
    <w:name w:val="List Paragraph"/>
    <w:basedOn w:val="1"/>
    <w:qFormat/>
    <w:uiPriority w:val="34"/>
    <w:pPr>
      <w:spacing w:after="0" w:line="240" w:lineRule="auto"/>
      <w:ind w:left="720"/>
      <w:contextualSpacing/>
    </w:pPr>
    <w:rPr>
      <w:rFonts w:ascii="Times New Roman" w:hAnsi="Times New Roman" w:eastAsia="MS Mincho" w:cs="Times New Roman"/>
      <w:sz w:val="24"/>
      <w:szCs w:val="24"/>
      <w:lang w:eastAsia="ja-JP"/>
    </w:rPr>
  </w:style>
  <w:style w:type="paragraph" w:customStyle="1" w:styleId="25">
    <w:name w:val="Default"/>
    <w:qFormat/>
    <w:uiPriority w:val="0"/>
    <w:pPr>
      <w:autoSpaceDE w:val="0"/>
      <w:autoSpaceDN w:val="0"/>
      <w:adjustRightInd w:val="0"/>
    </w:pPr>
    <w:rPr>
      <w:rFonts w:ascii="Arial" w:hAnsi="Arial" w:cs="Arial" w:eastAsiaTheme="minorHAnsi"/>
      <w:color w:val="000000"/>
      <w:sz w:val="24"/>
      <w:szCs w:val="24"/>
      <w:lang w:val="en-US" w:eastAsia="en-US" w:bidi="ar-SA"/>
    </w:rPr>
  </w:style>
  <w:style w:type="character" w:customStyle="1" w:styleId="26">
    <w:name w:val="nlm_year"/>
    <w:basedOn w:val="6"/>
    <w:qFormat/>
    <w:uiPriority w:val="0"/>
  </w:style>
  <w:style w:type="character" w:customStyle="1" w:styleId="27">
    <w:name w:val="nlm_article-title"/>
    <w:basedOn w:val="6"/>
    <w:qFormat/>
    <w:uiPriority w:val="0"/>
  </w:style>
  <w:style w:type="character" w:customStyle="1" w:styleId="28">
    <w:name w:val="nlm_fpage"/>
    <w:basedOn w:val="6"/>
    <w:qFormat/>
    <w:uiPriority w:val="0"/>
  </w:style>
  <w:style w:type="character" w:customStyle="1" w:styleId="29">
    <w:name w:val="nlm_lpage"/>
    <w:basedOn w:val="6"/>
    <w:qFormat/>
    <w:uiPriority w:val="0"/>
  </w:style>
  <w:style w:type="character" w:customStyle="1" w:styleId="30">
    <w:name w:val="Header Char"/>
    <w:basedOn w:val="6"/>
    <w:link w:val="15"/>
    <w:qFormat/>
    <w:uiPriority w:val="99"/>
  </w:style>
  <w:style w:type="character" w:customStyle="1" w:styleId="31">
    <w:name w:val="Footer Char"/>
    <w:basedOn w:val="6"/>
    <w:link w:val="14"/>
    <w:qFormat/>
    <w:uiPriority w:val="99"/>
  </w:style>
  <w:style w:type="table" w:customStyle="1" w:styleId="32">
    <w:name w:val="Table Grid1"/>
    <w:basedOn w:val="7"/>
    <w:qFormat/>
    <w:uiPriority w:val="59"/>
    <w:rPr>
      <w:rFonts w:eastAsia="Times New Roman" w:cs="Times New Roman"/>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3">
    <w:name w:val="Comment Text Char"/>
    <w:basedOn w:val="6"/>
    <w:link w:val="11"/>
    <w:semiHidden/>
    <w:qFormat/>
    <w:uiPriority w:val="99"/>
    <w:rPr>
      <w:sz w:val="20"/>
      <w:szCs w:val="20"/>
    </w:rPr>
  </w:style>
  <w:style w:type="character" w:customStyle="1" w:styleId="34">
    <w:name w:val="Comment Subject Char"/>
    <w:basedOn w:val="33"/>
    <w:link w:val="12"/>
    <w:semiHidden/>
    <w:qFormat/>
    <w:uiPriority w:val="99"/>
    <w:rPr>
      <w:b/>
      <w:bCs/>
      <w:sz w:val="20"/>
      <w:szCs w:val="20"/>
    </w:rPr>
  </w:style>
  <w:style w:type="character" w:customStyle="1" w:styleId="35">
    <w:name w:val="Balloon Text Char"/>
    <w:basedOn w:val="6"/>
    <w:link w:val="8"/>
    <w:semiHidden/>
    <w:qFormat/>
    <w:uiPriority w:val="99"/>
    <w:rPr>
      <w:rFonts w:ascii="Segoe UI" w:hAnsi="Segoe UI" w:cs="Segoe UI"/>
      <w:sz w:val="18"/>
      <w:szCs w:val="18"/>
    </w:rPr>
  </w:style>
  <w:style w:type="paragraph" w:customStyle="1" w:styleId="36">
    <w:name w:val="Revision1"/>
    <w:hidden/>
    <w:semiHidden/>
    <w:qFormat/>
    <w:uiPriority w:val="99"/>
    <w:rPr>
      <w:rFonts w:asciiTheme="minorHAnsi" w:hAnsiTheme="minorHAnsi" w:eastAsiaTheme="minorHAnsi" w:cstheme="minorBidi"/>
      <w:sz w:val="22"/>
      <w:szCs w:val="22"/>
      <w:lang w:val="en-US" w:eastAsia="en-US" w:bidi="ar-SA"/>
    </w:rPr>
  </w:style>
  <w:style w:type="character" w:styleId="37">
    <w:name w:val="Placeholder Text"/>
    <w:basedOn w:val="6"/>
    <w:semiHidden/>
    <w:qFormat/>
    <w:uiPriority w:val="99"/>
    <w:rPr>
      <w:color w:val="808080"/>
    </w:rPr>
  </w:style>
  <w:style w:type="character" w:customStyle="1" w:styleId="38">
    <w:name w:val="Heading 1 Char"/>
    <w:basedOn w:val="6"/>
    <w:link w:val="2"/>
    <w:qFormat/>
    <w:uiPriority w:val="99"/>
    <w:rPr>
      <w:rFonts w:ascii="Arial" w:hAnsi="Arial" w:eastAsia="Calibri" w:cs="Arial"/>
      <w:sz w:val="24"/>
      <w:szCs w:val="24"/>
    </w:rPr>
  </w:style>
  <w:style w:type="character" w:customStyle="1" w:styleId="39">
    <w:name w:val="hgkelc"/>
    <w:basedOn w:val="6"/>
    <w:qFormat/>
    <w:uiPriority w:val="0"/>
  </w:style>
  <w:style w:type="character" w:customStyle="1" w:styleId="40">
    <w:name w:val="fontstyle21"/>
    <w:basedOn w:val="6"/>
    <w:qFormat/>
    <w:uiPriority w:val="0"/>
    <w:rPr>
      <w:rFonts w:hint="default" w:ascii="AdvTT5235d5a9" w:hAnsi="AdvTT5235d5a9"/>
      <w:color w:val="231F20"/>
      <w:sz w:val="14"/>
      <w:szCs w:val="14"/>
    </w:rPr>
  </w:style>
  <w:style w:type="character" w:customStyle="1" w:styleId="41">
    <w:name w:val="Heading 2 Char"/>
    <w:basedOn w:val="6"/>
    <w:link w:val="3"/>
    <w:uiPriority w:val="9"/>
    <w:rPr>
      <w:rFonts w:asciiTheme="majorHAnsi" w:hAnsiTheme="majorHAnsi" w:eastAsiaTheme="majorEastAsia" w:cstheme="majorBidi"/>
      <w:b/>
      <w:color w:val="000000" w:themeColor="text1"/>
      <w:sz w:val="26"/>
      <w:szCs w:val="26"/>
      <w14:textFill>
        <w14:solidFill>
          <w14:schemeClr w14:val="tx1"/>
        </w14:solidFill>
      </w14:textFill>
    </w:rPr>
  </w:style>
  <w:style w:type="paragraph" w:styleId="42">
    <w:name w:val="No Spacing"/>
    <w:qFormat/>
    <w:uiPriority w:val="1"/>
    <w:rPr>
      <w:rFonts w:asciiTheme="minorHAnsi" w:hAnsiTheme="minorHAnsi" w:eastAsiaTheme="minorHAnsi" w:cstheme="minorBidi"/>
      <w:sz w:val="22"/>
      <w:szCs w:val="22"/>
      <w:lang w:val="en-US" w:eastAsia="en-US" w:bidi="ar-SA"/>
    </w:rPr>
  </w:style>
  <w:style w:type="character" w:customStyle="1" w:styleId="43">
    <w:name w:val="Heading 3 Char"/>
    <w:basedOn w:val="6"/>
    <w:link w:val="4"/>
    <w:qFormat/>
    <w:uiPriority w:val="9"/>
    <w:rPr>
      <w:rFonts w:asciiTheme="majorHAnsi" w:hAnsiTheme="majorHAnsi" w:eastAsiaTheme="majorEastAsia" w:cstheme="majorBidi"/>
      <w:color w:val="203864" w:themeColor="accent1" w:themeShade="80"/>
      <w:sz w:val="24"/>
      <w:szCs w:val="24"/>
    </w:rPr>
  </w:style>
  <w:style w:type="character" w:customStyle="1" w:styleId="44">
    <w:name w:val="Heading 4 Char"/>
    <w:basedOn w:val="6"/>
    <w:link w:val="5"/>
    <w:qFormat/>
    <w:uiPriority w:val="9"/>
    <w:rPr>
      <w:rFonts w:asciiTheme="majorHAnsi" w:hAnsiTheme="majorHAnsi" w:eastAsiaTheme="majorEastAsia" w:cstheme="majorBidi"/>
      <w:i/>
      <w:iCs/>
      <w:color w:val="2F5597" w:themeColor="accent1" w:themeShade="BF"/>
    </w:rPr>
  </w:style>
  <w:style w:type="paragraph" w:customStyle="1" w:styleId="45">
    <w:name w:val="TOC Heading1"/>
    <w:basedOn w:val="2"/>
    <w:next w:val="1"/>
    <w:unhideWhenUsed/>
    <w:qFormat/>
    <w:uiPriority w:val="39"/>
    <w:pPr>
      <w:keepLines/>
      <w:spacing w:before="240" w:line="259" w:lineRule="auto"/>
      <w:jc w:val="left"/>
      <w:outlineLvl w:val="9"/>
    </w:pPr>
    <w:rPr>
      <w:rFonts w:asciiTheme="majorHAnsi" w:hAnsiTheme="majorHAnsi" w:eastAsiaTheme="majorEastAsia" w:cstheme="majorBidi"/>
      <w:color w:val="2F5597" w:themeColor="accent1" w:themeShade="BF"/>
      <w:sz w:val="32"/>
      <w:szCs w:val="32"/>
    </w:rPr>
  </w:style>
  <w:style w:type="character" w:customStyle="1" w:styleId="46">
    <w:name w:val="cf01"/>
    <w:basedOn w:val="6"/>
    <w:qFormat/>
    <w:uiPriority w:val="0"/>
    <w:rPr>
      <w:rFonts w:hint="default" w:ascii="Segoe UI" w:hAnsi="Segoe UI" w:cs="Segoe UI"/>
      <w:sz w:val="18"/>
      <w:szCs w:val="18"/>
    </w:rPr>
  </w:style>
  <w:style w:type="table" w:customStyle="1" w:styleId="47">
    <w:name w:val="Table Grid11"/>
    <w:basedOn w:val="7"/>
    <w:qFormat/>
    <w:uiPriority w:val="59"/>
    <w:rPr>
      <w:rFonts w:eastAsia="Times New Roman" w:cs="Times New Roman"/>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
    <w:name w:val="Table Grid12"/>
    <w:basedOn w:val="7"/>
    <w:qFormat/>
    <w:uiPriority w:val="59"/>
    <w:rPr>
      <w:rFonts w:eastAsia="Times New Roman" w:cs="Times New Roman"/>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9">
    <w:name w:val="markedcontent"/>
    <w:basedOn w:val="6"/>
    <w:qFormat/>
    <w:uiPriority w:val="0"/>
  </w:style>
  <w:style w:type="paragraph" w:customStyle="1" w:styleId="50">
    <w:name w:val="Revision2"/>
    <w:hidden/>
    <w:semiHidden/>
    <w:qFormat/>
    <w:uiPriority w:val="99"/>
    <w:rPr>
      <w:rFonts w:asciiTheme="minorHAnsi" w:hAnsiTheme="minorHAnsi" w:eastAsiaTheme="minorHAnsi" w:cstheme="minorBidi"/>
      <w:sz w:val="22"/>
      <w:szCs w:val="22"/>
      <w:lang w:val="en-US" w:eastAsia="en-US" w:bidi="ar-SA"/>
    </w:rPr>
  </w:style>
  <w:style w:type="paragraph" w:customStyle="1" w:styleId="51">
    <w:name w:val="TOC Heading2"/>
    <w:basedOn w:val="2"/>
    <w:next w:val="1"/>
    <w:unhideWhenUsed/>
    <w:qFormat/>
    <w:uiPriority w:val="39"/>
    <w:pPr>
      <w:keepLines/>
      <w:spacing w:before="240" w:line="259" w:lineRule="auto"/>
      <w:jc w:val="left"/>
      <w:outlineLvl w:val="9"/>
    </w:pPr>
    <w:rPr>
      <w:rFonts w:asciiTheme="majorHAnsi" w:hAnsiTheme="majorHAnsi" w:eastAsiaTheme="majorEastAsia" w:cstheme="majorBidi"/>
      <w:color w:val="2F5597" w:themeColor="accent1" w:themeShade="BF"/>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5.xml"/><Relationship Id="rId28" Type="http://schemas.openxmlformats.org/officeDocument/2006/relationships/customXml" Target="../customXml/item4.xml"/><Relationship Id="rId27" Type="http://schemas.openxmlformats.org/officeDocument/2006/relationships/customXml" Target="../customXml/item3.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4B424592D34914498431B65106F5018" ma:contentTypeVersion="15" ma:contentTypeDescription="Create a new document." ma:contentTypeScope="" ma:versionID="303e4e24d916eba808442eefb96b82ec">
  <xsd:schema xmlns:xsd="http://www.w3.org/2001/XMLSchema" xmlns:xs="http://www.w3.org/2001/XMLSchema" xmlns:p="http://schemas.microsoft.com/office/2006/metadata/properties" xmlns:ns3="3195903a-b6cf-4d13-a145-0254b42eb049" xmlns:ns4="56dbcd96-70e8-4b48-8060-9f0a5af812a4" targetNamespace="http://schemas.microsoft.com/office/2006/metadata/properties" ma:root="true" ma:fieldsID="0f2a0f068eaf024ec3fa37153a9ffcc1" ns3:_="" ns4:_="">
    <xsd:import namespace="3195903a-b6cf-4d13-a145-0254b42eb049"/>
    <xsd:import namespace="56dbcd96-70e8-4b48-8060-9f0a5af812a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4:SharedWithUsers" minOccurs="0"/>
                <xsd:element ref="ns4:SharedWithDetails" minOccurs="0"/>
                <xsd:element ref="ns4:SharingHintHash" minOccurs="0"/>
                <xsd:element ref="ns3:_activity"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95903a-b6cf-4d13-a145-0254b42eb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dbcd96-70e8-4b48-8060-9f0a5af812a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activity xmlns="3195903a-b6cf-4d13-a145-0254b42eb049"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73931F-CC70-4763-B3B7-AA96443B2036}">
  <ds:schemaRefs/>
</ds:datastoreItem>
</file>

<file path=customXml/itemProps3.xml><?xml version="1.0" encoding="utf-8"?>
<ds:datastoreItem xmlns:ds="http://schemas.openxmlformats.org/officeDocument/2006/customXml" ds:itemID="{21AC7F90-A78E-4FB4-8060-6DA86F75FE3B}">
  <ds:schemaRefs/>
</ds:datastoreItem>
</file>

<file path=customXml/itemProps4.xml><?xml version="1.0" encoding="utf-8"?>
<ds:datastoreItem xmlns:ds="http://schemas.openxmlformats.org/officeDocument/2006/customXml" ds:itemID="{12A5623B-8827-4711-BE2F-14425EC25A4A}">
  <ds:schemaRefs/>
</ds:datastoreItem>
</file>

<file path=customXml/itemProps5.xml><?xml version="1.0" encoding="utf-8"?>
<ds:datastoreItem xmlns:ds="http://schemas.openxmlformats.org/officeDocument/2006/customXml" ds:itemID="{E7D8B649-2D1C-4208-88EC-2D1D17473C6C}">
  <ds:schemaRefs/>
</ds:datastoreItem>
</file>

<file path=docProps/app.xml><?xml version="1.0" encoding="utf-8"?>
<Properties xmlns="http://schemas.openxmlformats.org/officeDocument/2006/extended-properties" xmlns:vt="http://schemas.openxmlformats.org/officeDocument/2006/docPropsVTypes">
  <Template>Normal.dotm</Template>
  <Pages>103</Pages>
  <Words>56874</Words>
  <Characters>324183</Characters>
  <Lines>2701</Lines>
  <Paragraphs>760</Paragraphs>
  <TotalTime>6</TotalTime>
  <ScaleCrop>false</ScaleCrop>
  <LinksUpToDate>false</LinksUpToDate>
  <CharactersWithSpaces>380297</CharactersWithSpaces>
  <Application>WPS Office_12.2.0.13201_F1E327BC-269C-435d-A152-05C5408002CA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2023-08-29T20:51:00Z</dcterms:created>
  <dc:creator>Windows User</dc:creator>
  <cp:lastModifiedBy>betty.mutesasira</cp:lastModifiedBy>
  <cp:lastPrinted>2023-08-13T01:32:00Z</cp:lastPrinted>
  <dcterms:modified xsi:type="dcterms:W3CDTF">2023-09-08T06:23:07Z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f6362972-4568-3293-bfde-b054daa97017</vt:lpwstr>
  </property>
  <property fmtid="{D5CDD505-2E9C-101B-9397-08002B2CF9AE}" pid="24" name="Mendeley Citation Style_1">
    <vt:lpwstr>http://www.zotero.org/styles/apa</vt:lpwstr>
  </property>
  <property fmtid="{D5CDD505-2E9C-101B-9397-08002B2CF9AE}" pid="25" name="KSOProductBuildVer">
    <vt:lpwstr>1033-12.2.0.13201</vt:lpwstr>
  </property>
  <property fmtid="{D5CDD505-2E9C-101B-9397-08002B2CF9AE}" pid="26" name="ICV">
    <vt:lpwstr>C7472B272F8345018E71977653C2A8FB_13</vt:lpwstr>
  </property>
  <property fmtid="{D5CDD505-2E9C-101B-9397-08002B2CF9AE}" pid="27" name="ContentTypeId">
    <vt:lpwstr>0x010100B4B424592D34914498431B65106F5018</vt:lpwstr>
  </property>
</Properties>
</file>