
<file path=[Content_Types].xml><?xml version="1.0" encoding="utf-8"?>
<Types xmlns="http://schemas.openxmlformats.org/package/2006/content-types">
  <Default Extension="xml" ContentType="application/xml"/>
  <Default Extension="wmf" ContentType="image/x-wmf"/>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5"/>
      </w:pPr>
    </w:p>
    <w:p>
      <w:pPr>
        <w:spacing w:before="100" w:beforeAutospacing="1" w:after="100" w:afterAutospacing="1" w:line="480" w:lineRule="auto"/>
        <w:ind w:left="720" w:right="720" w:firstLine="720"/>
        <w:jc w:val="center"/>
        <w:rPr>
          <w:rFonts w:ascii="Times New Roman" w:hAnsi="Times New Roman" w:cs="Times New Roman"/>
          <w:b/>
          <w:bCs/>
          <w:sz w:val="24"/>
          <w:szCs w:val="24"/>
        </w:rPr>
      </w:pPr>
      <w:r>
        <w:rPr>
          <w:rFonts w:ascii="Times New Roman" w:hAnsi="Times New Roman" w:cs="Times New Roman"/>
          <w:b/>
          <w:bCs/>
          <w:sz w:val="24"/>
          <w:szCs w:val="24"/>
        </w:rPr>
        <w:t xml:space="preserve">The Effects </w:t>
      </w:r>
      <w:bookmarkStart w:id="0" w:name="_Hlk132888678"/>
      <w:r>
        <w:rPr>
          <w:rFonts w:ascii="Times New Roman" w:hAnsi="Times New Roman" w:cs="Times New Roman"/>
          <w:b/>
          <w:bCs/>
          <w:sz w:val="24"/>
          <w:szCs w:val="24"/>
        </w:rPr>
        <w:t xml:space="preserve">of Integrating a Pain Assessment Scale on the Surgical Ward Nurse’s Knowledge, Attitude, and Practice regarding Post-Operative Pain Management </w:t>
      </w:r>
      <w:bookmarkEnd w:id="0"/>
      <w:r>
        <w:rPr>
          <w:rFonts w:ascii="Times New Roman" w:hAnsi="Times New Roman" w:cs="Times New Roman"/>
          <w:b/>
          <w:bCs/>
          <w:sz w:val="24"/>
          <w:szCs w:val="24"/>
        </w:rPr>
        <w:t>in Mengo Hospital Kampala, Uganda.</w:t>
      </w:r>
    </w:p>
    <w:p>
      <w:pPr>
        <w:spacing w:before="100" w:beforeAutospacing="1" w:after="100" w:afterAutospacing="1" w:line="480" w:lineRule="auto"/>
        <w:ind w:left="720" w:right="720" w:firstLine="720"/>
        <w:jc w:val="center"/>
        <w:rPr>
          <w:rFonts w:ascii="Times New Roman" w:hAnsi="Times New Roman" w:cs="Times New Roman"/>
          <w:b/>
          <w:bCs/>
          <w:sz w:val="24"/>
          <w:szCs w:val="24"/>
        </w:rPr>
      </w:pPr>
    </w:p>
    <w:p>
      <w:pPr>
        <w:spacing w:before="100" w:beforeAutospacing="1" w:after="100" w:afterAutospacing="1" w:line="480" w:lineRule="auto"/>
        <w:ind w:left="720" w:right="720" w:firstLine="720"/>
        <w:jc w:val="center"/>
        <w:rPr>
          <w:rFonts w:ascii="Times New Roman" w:hAnsi="Times New Roman" w:cs="Times New Roman"/>
          <w:b/>
          <w:bCs/>
          <w:sz w:val="24"/>
          <w:szCs w:val="24"/>
        </w:rPr>
      </w:pPr>
      <w:r>
        <w:rPr>
          <w:rFonts w:ascii="Times New Roman" w:hAnsi="Times New Roman" w:cs="Times New Roman"/>
          <w:b/>
          <w:bCs/>
          <w:sz w:val="24"/>
          <w:szCs w:val="24"/>
        </w:rPr>
        <w:t>Nabiwande Betty Musisi</w:t>
      </w:r>
    </w:p>
    <w:p>
      <w:pPr>
        <w:spacing w:before="100" w:beforeAutospacing="1" w:after="100" w:afterAutospacing="1" w:line="480" w:lineRule="auto"/>
        <w:ind w:left="720" w:right="720" w:firstLine="720"/>
        <w:jc w:val="center"/>
        <w:rPr>
          <w:rFonts w:ascii="Times New Roman" w:hAnsi="Times New Roman" w:cs="Times New Roman"/>
          <w:b/>
          <w:bCs/>
          <w:sz w:val="24"/>
          <w:szCs w:val="24"/>
        </w:rPr>
      </w:pPr>
      <w:r>
        <w:rPr>
          <w:rFonts w:ascii="Times New Roman" w:hAnsi="Times New Roman" w:cs="Times New Roman"/>
          <w:b/>
          <w:bCs/>
          <w:sz w:val="24"/>
          <w:szCs w:val="24"/>
        </w:rPr>
        <w:t>RM17M11/065</w:t>
      </w:r>
    </w:p>
    <w:p>
      <w:pPr>
        <w:spacing w:before="100" w:beforeAutospacing="1" w:after="100" w:afterAutospacing="1" w:line="480" w:lineRule="auto"/>
        <w:ind w:left="720" w:right="720" w:firstLine="720"/>
        <w:jc w:val="center"/>
        <w:rPr>
          <w:rFonts w:ascii="Times New Roman" w:hAnsi="Times New Roman" w:cs="Times New Roman"/>
          <w:b/>
          <w:bCs/>
          <w:sz w:val="24"/>
          <w:szCs w:val="24"/>
        </w:rPr>
      </w:pPr>
      <w:r>
        <w:rPr>
          <w:rFonts w:ascii="Times New Roman" w:hAnsi="Times New Roman" w:cs="Times New Roman"/>
          <w:b/>
          <w:bCs/>
          <w:sz w:val="24"/>
          <w:szCs w:val="24"/>
        </w:rPr>
        <w:t>Dr. Sebuliba Faith (RN/M, DHT, BScN, MNS, PhD Nursing Ed.)</w:t>
      </w:r>
    </w:p>
    <w:p>
      <w:pPr>
        <w:spacing w:before="100" w:beforeAutospacing="1" w:after="100" w:afterAutospacing="1" w:line="480" w:lineRule="auto"/>
        <w:ind w:left="720" w:right="720" w:firstLine="720"/>
        <w:jc w:val="center"/>
        <w:rPr>
          <w:rFonts w:ascii="Times New Roman" w:hAnsi="Times New Roman" w:cs="Times New Roman"/>
          <w:b/>
          <w:bCs/>
          <w:sz w:val="24"/>
          <w:szCs w:val="24"/>
        </w:rPr>
      </w:pPr>
    </w:p>
    <w:p>
      <w:pPr>
        <w:spacing w:before="100" w:beforeAutospacing="1" w:after="100" w:afterAutospacing="1" w:line="480" w:lineRule="auto"/>
        <w:ind w:left="720" w:right="720" w:firstLine="720"/>
        <w:jc w:val="center"/>
        <w:rPr>
          <w:rFonts w:ascii="Times New Roman" w:hAnsi="Times New Roman" w:cs="Times New Roman"/>
          <w:b/>
          <w:bCs/>
          <w:sz w:val="24"/>
          <w:szCs w:val="24"/>
        </w:rPr>
      </w:pPr>
      <w:r>
        <w:rPr>
          <w:rFonts w:ascii="Times New Roman" w:hAnsi="Times New Roman" w:cs="Times New Roman"/>
          <w:b/>
          <w:bCs/>
          <w:sz w:val="24"/>
          <w:szCs w:val="24"/>
        </w:rPr>
        <w:t>A Dissertation Submitted to the Faculty of Healthy Sciences</w:t>
      </w:r>
      <w:r>
        <w:rPr>
          <w:rFonts w:ascii="Times New Roman" w:hAnsi="Times New Roman" w:cs="Times New Roman"/>
          <w:b/>
          <w:bCs/>
          <w:sz w:val="24"/>
          <w:szCs w:val="24"/>
        </w:rPr>
        <w:br w:type="textWrapping"/>
      </w:r>
      <w:r>
        <w:rPr>
          <w:rFonts w:ascii="Times New Roman" w:hAnsi="Times New Roman" w:cs="Times New Roman"/>
          <w:b/>
          <w:bCs/>
          <w:sz w:val="24"/>
          <w:szCs w:val="24"/>
        </w:rPr>
        <w:t>In Partial Fulfilment of the Requirements for the Award of the Degree of</w:t>
      </w:r>
      <w:r>
        <w:rPr>
          <w:rFonts w:ascii="Times New Roman" w:hAnsi="Times New Roman" w:cs="Times New Roman"/>
          <w:b/>
          <w:bCs/>
          <w:sz w:val="24"/>
          <w:szCs w:val="24"/>
        </w:rPr>
        <w:br w:type="textWrapping"/>
      </w:r>
      <w:r>
        <w:rPr>
          <w:rFonts w:ascii="Times New Roman" w:hAnsi="Times New Roman" w:cs="Times New Roman"/>
          <w:b/>
          <w:bCs/>
          <w:sz w:val="24"/>
          <w:szCs w:val="24"/>
        </w:rPr>
        <w:t>Masters in Nursing Science of</w:t>
      </w:r>
    </w:p>
    <w:p>
      <w:pPr>
        <w:spacing w:before="100" w:beforeAutospacing="1" w:after="100" w:afterAutospacing="1" w:line="480" w:lineRule="auto"/>
        <w:ind w:left="720" w:right="720" w:firstLine="720"/>
        <w:jc w:val="center"/>
        <w:rPr>
          <w:rFonts w:ascii="Times New Roman" w:hAnsi="Times New Roman" w:cs="Times New Roman"/>
          <w:b/>
          <w:bCs/>
          <w:sz w:val="24"/>
          <w:szCs w:val="24"/>
        </w:rPr>
      </w:pPr>
      <w:r>
        <w:rPr>
          <w:rFonts w:ascii="Times New Roman" w:hAnsi="Times New Roman" w:cs="Times New Roman"/>
          <w:b/>
          <w:bCs/>
          <w:sz w:val="24"/>
          <w:szCs w:val="24"/>
        </w:rPr>
        <w:t>Uganda Christian University</w:t>
      </w:r>
      <w:r>
        <w:rPr>
          <w:rFonts w:ascii="Times New Roman" w:hAnsi="Times New Roman" w:cs="Times New Roman"/>
          <w:b/>
          <w:bCs/>
          <w:sz w:val="24"/>
          <w:szCs w:val="24"/>
        </w:rPr>
        <w:br w:type="textWrapping"/>
      </w:r>
      <w:r>
        <w:rPr>
          <w:rFonts w:ascii="Times New Roman" w:hAnsi="Times New Roman" w:cs="Times New Roman"/>
          <w:b/>
          <w:bCs/>
          <w:sz w:val="24"/>
          <w:szCs w:val="24"/>
        </w:rPr>
        <w:t>Mukono, Uganda</w:t>
      </w:r>
      <w:r>
        <w:rPr>
          <w:rFonts w:ascii="Times New Roman" w:hAnsi="Times New Roman" w:cs="Times New Roman"/>
          <w:b/>
          <w:bCs/>
          <w:sz w:val="24"/>
          <w:szCs w:val="24"/>
        </w:rPr>
        <w:br w:type="textWrapping"/>
      </w:r>
      <w:r>
        <w:rPr>
          <w:rFonts w:ascii="Times New Roman" w:hAnsi="Times New Roman" w:cs="Times New Roman"/>
          <w:b/>
          <w:bCs/>
          <w:sz w:val="24"/>
          <w:szCs w:val="24"/>
        </w:rPr>
        <w:t>August, 2023</w:t>
      </w:r>
    </w:p>
    <w:p>
      <w:pPr>
        <w:spacing w:before="100" w:beforeAutospacing="1" w:after="100" w:afterAutospacing="1" w:line="480" w:lineRule="auto"/>
        <w:ind w:left="720" w:right="720" w:firstLine="720"/>
        <w:jc w:val="center"/>
        <w:rPr>
          <w:rFonts w:ascii="Times New Roman" w:hAnsi="Times New Roman" w:cs="Times New Roman"/>
          <w:b/>
          <w:bCs/>
          <w:sz w:val="24"/>
          <w:szCs w:val="24"/>
        </w:rPr>
      </w:pPr>
      <w:r>
        <w:rPr>
          <w:rFonts w:ascii="Times New Roman" w:hAnsi="Times New Roman" w:cs="Times New Roman"/>
          <w:b/>
          <w:bCs/>
          <w:sz w:val="24"/>
          <w:szCs w:val="24"/>
        </w:rPr>
        <w:t>Uganda Christian University</w:t>
      </w:r>
    </w:p>
    <w:p>
      <w:pPr>
        <w:pStyle w:val="42"/>
        <w:spacing w:line="480" w:lineRule="auto"/>
        <w:ind w:right="720"/>
        <w:rPr>
          <w:rFonts w:ascii="Times New Roman" w:hAnsi="Times New Roman" w:cs="Times New Roman"/>
          <w:b/>
          <w:bCs/>
          <w:sz w:val="24"/>
          <w:szCs w:val="24"/>
        </w:rPr>
      </w:pPr>
    </w:p>
    <w:p>
      <w:pPr>
        <w:pStyle w:val="42"/>
        <w:spacing w:line="480" w:lineRule="auto"/>
        <w:ind w:right="720"/>
        <w:rPr>
          <w:rFonts w:ascii="Times New Roman" w:hAnsi="Times New Roman" w:cs="Times New Roman"/>
          <w:b/>
          <w:bCs/>
          <w:sz w:val="24"/>
          <w:szCs w:val="24"/>
        </w:rPr>
      </w:pPr>
      <w:bookmarkStart w:id="1" w:name="_Hlk94910059"/>
    </w:p>
    <w:p>
      <w:pPr>
        <w:pStyle w:val="42"/>
        <w:spacing w:line="480" w:lineRule="auto"/>
        <w:ind w:left="720" w:right="720"/>
        <w:jc w:val="center"/>
        <w:rPr>
          <w:rFonts w:ascii="Times New Roman" w:hAnsi="Times New Roman" w:cs="Times New Roman"/>
          <w:b/>
          <w:bCs/>
          <w:sz w:val="24"/>
          <w:szCs w:val="24"/>
        </w:rPr>
      </w:pPr>
      <w:r>
        <w:rPr>
          <w:sz w:val="24"/>
        </w:rPr>
        <mc:AlternateContent>
          <mc:Choice Requires="wps">
            <w:drawing>
              <wp:anchor distT="0" distB="0" distL="114300" distR="114300" simplePos="0" relativeHeight="251676672" behindDoc="0" locked="0" layoutInCell="1" allowOverlap="1">
                <wp:simplePos x="0" y="0"/>
                <wp:positionH relativeFrom="column">
                  <wp:posOffset>2674620</wp:posOffset>
                </wp:positionH>
                <wp:positionV relativeFrom="paragraph">
                  <wp:posOffset>351790</wp:posOffset>
                </wp:positionV>
                <wp:extent cx="419100" cy="327660"/>
                <wp:effectExtent l="0" t="0" r="7620" b="7620"/>
                <wp:wrapNone/>
                <wp:docPr id="5" name="Text Box 5"/>
                <wp:cNvGraphicFramePr/>
                <a:graphic xmlns:a="http://schemas.openxmlformats.org/drawingml/2006/main">
                  <a:graphicData uri="http://schemas.microsoft.com/office/word/2010/wordprocessingShape">
                    <wps:wsp>
                      <wps:cNvSpPr txBox="1"/>
                      <wps:spPr>
                        <a:xfrm>
                          <a:off x="3589020" y="9177655"/>
                          <a:ext cx="419100" cy="32766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0.6pt;margin-top:27.7pt;height:25.8pt;width:33pt;z-index:251676672;mso-width-relative:page;mso-height-relative:page;" fillcolor="#FFFFFF [3201]" filled="t" stroked="f" coordsize="21600,21600" o:gfxdata="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zAa1itUAAAAKAQAADwAAAAAAAAAB&#10;ACAAAAAiAAAAZHJzL2Rvd25yZXYueG1sUEsBAhQAFAAAAAgAh07iQLfrzY9MAgAAmQQAAA4AAAAA&#10;AAAAAQAgAAAAJAEAAGRycy9lMm9Eb2MueG1sUEsFBgAAAAAGAAYAWQEAAOIFAAAAAA==&#10;">
                <v:fill on="t" focussize="0,0"/>
                <v:stroke on="f" weight="0.5pt"/>
                <v:imagedata o:title=""/>
                <o:lock v:ext="edit" aspectratio="f"/>
                <v:textbox>
                  <w:txbxContent>
                    <w:p/>
                  </w:txbxContent>
                </v:textbox>
              </v:shape>
            </w:pict>
          </mc:Fallback>
        </mc:AlternateContent>
      </w:r>
    </w:p>
    <w:p>
      <w:pPr>
        <w:pStyle w:val="42"/>
        <w:spacing w:line="480" w:lineRule="auto"/>
        <w:ind w:left="720" w:right="720"/>
        <w:jc w:val="center"/>
      </w:pPr>
    </w:p>
    <w:p>
      <w:pPr>
        <w:pStyle w:val="42"/>
        <w:tabs>
          <w:tab w:val="left" w:pos="8580"/>
        </w:tabs>
        <w:spacing w:line="480" w:lineRule="auto"/>
        <w:ind w:left="-440" w:leftChars="0" w:right="720" w:firstLine="0" w:firstLineChars="0"/>
        <w:jc w:val="center"/>
        <w:rPr>
          <w:rStyle w:val="39"/>
          <w:rFonts w:ascii="Times New Roman" w:hAnsi="Times New Roman" w:cs="Times New Roman"/>
          <w:sz w:val="24"/>
          <w:szCs w:val="24"/>
        </w:rPr>
      </w:pPr>
      <w:r>
        <w:drawing>
          <wp:inline distT="0" distB="0" distL="114300" distR="114300">
            <wp:extent cx="6857365" cy="6983730"/>
            <wp:effectExtent l="0" t="0" r="0" b="1143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pic:cNvPicPr>
                  </pic:nvPicPr>
                  <pic:blipFill>
                    <a:blip r:embed="rId13"/>
                    <a:srcRect l="2957" r="-2218" b="14319"/>
                    <a:stretch>
                      <a:fillRect/>
                    </a:stretch>
                  </pic:blipFill>
                  <pic:spPr>
                    <a:xfrm>
                      <a:off x="0" y="0"/>
                      <a:ext cx="6857365" cy="6983730"/>
                    </a:xfrm>
                    <a:prstGeom prst="rect">
                      <a:avLst/>
                    </a:prstGeom>
                    <a:noFill/>
                    <a:ln>
                      <a:noFill/>
                    </a:ln>
                  </pic:spPr>
                </pic:pic>
              </a:graphicData>
            </a:graphic>
          </wp:inline>
        </w:drawing>
      </w:r>
    </w:p>
    <w:p>
      <w:pPr>
        <w:pStyle w:val="42"/>
        <w:spacing w:line="480" w:lineRule="auto"/>
        <w:ind w:left="720" w:right="720"/>
        <w:rPr>
          <w:rStyle w:val="39"/>
          <w:rFonts w:ascii="Times New Roman" w:hAnsi="Times New Roman" w:cs="Times New Roman"/>
          <w:sz w:val="24"/>
          <w:szCs w:val="24"/>
        </w:rPr>
      </w:pPr>
    </w:p>
    <w:p>
      <w:pPr>
        <w:pStyle w:val="42"/>
        <w:tabs>
          <w:tab w:val="left" w:pos="9180"/>
        </w:tabs>
        <w:spacing w:line="480" w:lineRule="auto"/>
        <w:ind w:left="90" w:right="180"/>
        <w:jc w:val="both"/>
      </w:pPr>
    </w:p>
    <w:p>
      <w:pPr>
        <w:pStyle w:val="42"/>
        <w:tabs>
          <w:tab w:val="left" w:pos="9180"/>
        </w:tabs>
        <w:spacing w:line="480" w:lineRule="auto"/>
        <w:ind w:left="90" w:right="180"/>
        <w:jc w:val="both"/>
        <w:rPr>
          <w:rStyle w:val="39"/>
          <w:rFonts w:ascii="Times New Roman" w:hAnsi="Times New Roman" w:cs="Times New Roman"/>
          <w:sz w:val="24"/>
          <w:szCs w:val="24"/>
        </w:rPr>
      </w:pPr>
      <w:r>
        <w:drawing>
          <wp:inline distT="0" distB="0" distL="114300" distR="114300">
            <wp:extent cx="5539740" cy="6026150"/>
            <wp:effectExtent l="0" t="0" r="762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4"/>
                    <a:srcRect l="1929" r="1374" b="23517"/>
                    <a:stretch>
                      <a:fillRect/>
                    </a:stretch>
                  </pic:blipFill>
                  <pic:spPr>
                    <a:xfrm>
                      <a:off x="0" y="0"/>
                      <a:ext cx="5539740" cy="6026150"/>
                    </a:xfrm>
                    <a:prstGeom prst="rect">
                      <a:avLst/>
                    </a:prstGeom>
                    <a:noFill/>
                    <a:ln>
                      <a:noFill/>
                    </a:ln>
                  </pic:spPr>
                </pic:pic>
              </a:graphicData>
            </a:graphic>
          </wp:inline>
        </w:drawing>
      </w:r>
    </w:p>
    <w:p>
      <w:pPr>
        <w:pStyle w:val="42"/>
        <w:spacing w:line="480" w:lineRule="auto"/>
        <w:ind w:left="720" w:right="720"/>
        <w:rPr>
          <w:rStyle w:val="39"/>
          <w:rFonts w:ascii="Times New Roman" w:hAnsi="Times New Roman" w:cs="Times New Roman"/>
          <w:sz w:val="24"/>
          <w:szCs w:val="24"/>
        </w:rPr>
      </w:pPr>
    </w:p>
    <w:p>
      <w:pPr>
        <w:pStyle w:val="42"/>
        <w:spacing w:line="480" w:lineRule="auto"/>
        <w:ind w:left="720" w:right="720"/>
        <w:rPr>
          <w:rStyle w:val="39"/>
          <w:rFonts w:ascii="Times New Roman" w:hAnsi="Times New Roman" w:cs="Times New Roman"/>
          <w:sz w:val="24"/>
          <w:szCs w:val="24"/>
        </w:rPr>
      </w:pPr>
      <w:bookmarkStart w:id="268" w:name="_GoBack"/>
      <w:bookmarkEnd w:id="268"/>
    </w:p>
    <w:p>
      <w:pPr>
        <w:pStyle w:val="42"/>
        <w:spacing w:line="480" w:lineRule="auto"/>
        <w:ind w:right="720"/>
        <w:rPr>
          <w:rFonts w:ascii="Times New Roman" w:hAnsi="Times New Roman" w:cs="Times New Roman"/>
          <w:b/>
          <w:bCs/>
          <w:sz w:val="24"/>
          <w:szCs w:val="24"/>
        </w:rPr>
      </w:pPr>
    </w:p>
    <w:p>
      <w:pPr>
        <w:pStyle w:val="3"/>
        <w:spacing w:line="480" w:lineRule="auto"/>
        <w:jc w:val="center"/>
        <w:rPr>
          <w:rFonts w:ascii="Times New Roman" w:hAnsi="Times New Roman" w:cs="Times New Roman"/>
          <w:b w:val="0"/>
          <w:sz w:val="24"/>
          <w:szCs w:val="24"/>
        </w:rPr>
      </w:pPr>
      <w:bookmarkStart w:id="2" w:name="_Toc142753368"/>
      <w:r>
        <w:rPr>
          <w:rFonts w:ascii="Times New Roman" w:hAnsi="Times New Roman" w:cs="Times New Roman"/>
          <w:sz w:val="24"/>
          <w:szCs w:val="24"/>
        </w:rPr>
        <w:t>Acknowledgement</w:t>
      </w:r>
      <w:bookmarkEnd w:id="2"/>
    </w:p>
    <w:p>
      <w:pPr>
        <w:pStyle w:val="42"/>
        <w:spacing w:line="480" w:lineRule="auto"/>
        <w:ind w:right="90"/>
        <w:jc w:val="both"/>
        <w:rPr>
          <w:rFonts w:ascii="Times New Roman" w:hAnsi="Times New Roman" w:cs="Times New Roman"/>
          <w:sz w:val="24"/>
          <w:szCs w:val="24"/>
        </w:rPr>
      </w:pPr>
      <w:r>
        <w:rPr>
          <w:rFonts w:ascii="Times New Roman" w:hAnsi="Times New Roman" w:cs="Times New Roman"/>
          <w:sz w:val="24"/>
          <w:szCs w:val="24"/>
        </w:rPr>
        <w:t xml:space="preserve">Words can’t express my gratitude to my supervisor Dr. Faith Sebuliba for her invaluable patience and feedback. I wouldn’t have taken this journey without your support, always provided knowledge and expertise. </w:t>
      </w:r>
    </w:p>
    <w:p>
      <w:pPr>
        <w:pStyle w:val="42"/>
        <w:spacing w:line="480" w:lineRule="auto"/>
        <w:ind w:right="720"/>
        <w:jc w:val="both"/>
        <w:rPr>
          <w:rFonts w:ascii="Times New Roman" w:hAnsi="Times New Roman" w:cs="Times New Roman"/>
          <w:sz w:val="24"/>
          <w:szCs w:val="24"/>
        </w:rPr>
      </w:pPr>
      <w:r>
        <w:rPr>
          <w:rFonts w:ascii="Times New Roman" w:hAnsi="Times New Roman" w:cs="Times New Roman"/>
          <w:sz w:val="24"/>
          <w:szCs w:val="24"/>
        </w:rPr>
        <w:t>Additionally, this endeavor wouldn’t have been possible without the generous support from my husband and family, who financed my research so far.</w:t>
      </w:r>
    </w:p>
    <w:p>
      <w:pPr>
        <w:pStyle w:val="42"/>
        <w:spacing w:line="480" w:lineRule="auto"/>
        <w:ind w:right="720"/>
        <w:rPr>
          <w:rFonts w:ascii="Times New Roman" w:hAnsi="Times New Roman" w:cs="Times New Roman"/>
          <w:sz w:val="24"/>
          <w:szCs w:val="24"/>
        </w:rPr>
      </w:pPr>
      <w:r>
        <w:rPr>
          <w:rFonts w:ascii="Times New Roman" w:hAnsi="Times New Roman" w:cs="Times New Roman"/>
          <w:sz w:val="24"/>
          <w:szCs w:val="24"/>
        </w:rPr>
        <w:t xml:space="preserve">Additionally, am so grateful to my colleagues in MN8 class for their editing help, effort rendered, thank you so much. </w:t>
      </w: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3"/>
        <w:spacing w:line="480" w:lineRule="auto"/>
        <w:jc w:val="center"/>
        <w:rPr>
          <w:rStyle w:val="39"/>
          <w:rFonts w:ascii="Times New Roman" w:hAnsi="Times New Roman" w:cs="Times New Roman"/>
          <w:b w:val="0"/>
          <w:bCs/>
          <w:sz w:val="24"/>
          <w:szCs w:val="24"/>
        </w:rPr>
      </w:pPr>
      <w:bookmarkStart w:id="3" w:name="_Toc142753369"/>
      <w:r>
        <w:rPr>
          <w:rStyle w:val="39"/>
          <w:rFonts w:ascii="Times New Roman" w:hAnsi="Times New Roman" w:cs="Times New Roman"/>
          <w:bCs/>
          <w:sz w:val="24"/>
          <w:szCs w:val="24"/>
        </w:rPr>
        <w:t>Dedication</w:t>
      </w:r>
      <w:bookmarkEnd w:id="3"/>
    </w:p>
    <w:p>
      <w:pPr>
        <w:pStyle w:val="42"/>
        <w:spacing w:line="480" w:lineRule="auto"/>
        <w:ind w:right="90"/>
        <w:jc w:val="both"/>
        <w:rPr>
          <w:rStyle w:val="39"/>
          <w:rFonts w:ascii="Times New Roman" w:hAnsi="Times New Roman" w:cs="Times New Roman"/>
          <w:sz w:val="24"/>
          <w:szCs w:val="24"/>
        </w:rPr>
      </w:pPr>
      <w:r>
        <w:rPr>
          <w:rStyle w:val="39"/>
          <w:rFonts w:ascii="Times New Roman" w:hAnsi="Times New Roman" w:cs="Times New Roman"/>
          <w:sz w:val="24"/>
          <w:szCs w:val="24"/>
        </w:rPr>
        <w:t>I dedicate this research to my husband Peter Mutesasira and my dear children Pius, Pretty, Praise, and Phillip. My family has been patient with me, thank you for your daily prayers.</w:t>
      </w: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right="720"/>
        <w:rPr>
          <w:rFonts w:ascii="Times New Roman" w:hAnsi="Times New Roman" w:cs="Times New Roman"/>
          <w:b/>
          <w:bCs/>
          <w:sz w:val="24"/>
          <w:szCs w:val="24"/>
        </w:rPr>
      </w:pPr>
    </w:p>
    <w:p>
      <w:pPr>
        <w:pStyle w:val="42"/>
        <w:spacing w:line="480" w:lineRule="auto"/>
        <w:ind w:right="720"/>
        <w:rPr>
          <w:rFonts w:ascii="Times New Roman" w:hAnsi="Times New Roman" w:cs="Times New Roman"/>
          <w:b/>
          <w:bCs/>
          <w:sz w:val="24"/>
          <w:szCs w:val="24"/>
        </w:rPr>
      </w:pPr>
    </w:p>
    <w:p>
      <w:pPr>
        <w:pStyle w:val="42"/>
        <w:spacing w:line="480" w:lineRule="auto"/>
        <w:ind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pPr>
    </w:p>
    <w:sdt>
      <w:sdtPr>
        <w:rPr>
          <w:rFonts w:ascii="Times New Roman" w:hAnsi="Times New Roman" w:cs="Times New Roman" w:eastAsiaTheme="minorHAnsi"/>
          <w:color w:val="auto"/>
          <w:sz w:val="24"/>
          <w:szCs w:val="24"/>
        </w:rPr>
        <w:id w:val="-997572825"/>
        <w:docPartObj>
          <w:docPartGallery w:val="Table of Contents"/>
          <w:docPartUnique/>
        </w:docPartObj>
      </w:sdtPr>
      <w:sdtEndPr>
        <w:rPr>
          <w:rFonts w:ascii="Times New Roman" w:hAnsi="Times New Roman" w:cs="Times New Roman" w:eastAsiaTheme="minorHAnsi"/>
          <w:b/>
          <w:bCs/>
          <w:color w:val="auto"/>
          <w:sz w:val="24"/>
          <w:szCs w:val="24"/>
        </w:rPr>
      </w:sdtEndPr>
      <w:sdtContent>
        <w:p>
          <w:pPr>
            <w:pStyle w:val="51"/>
            <w:jc w:val="center"/>
            <w:rPr>
              <w:rFonts w:ascii="Times New Roman" w:hAnsi="Times New Roman" w:cs="Times New Roman"/>
              <w:b/>
              <w:sz w:val="24"/>
              <w:szCs w:val="24"/>
            </w:rPr>
          </w:pPr>
          <w:r>
            <w:rPr>
              <w:rFonts w:ascii="Times New Roman" w:hAnsi="Times New Roman" w:cs="Times New Roman"/>
              <w:b/>
              <w:sz w:val="24"/>
              <w:szCs w:val="24"/>
            </w:rPr>
            <w:t>Table of Contents</w:t>
          </w:r>
        </w:p>
        <w:p>
          <w:pPr>
            <w:pStyle w:val="22"/>
            <w:tabs>
              <w:tab w:val="right" w:leader="dot" w:pos="9350"/>
            </w:tabs>
            <w:rPr>
              <w:rFonts w:ascii="Times New Roman" w:hAnsi="Times New Roman" w:cs="Times New Roman" w:eastAsiaTheme="minorEastAsia"/>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r>
            <w:fldChar w:fldCharType="begin"/>
          </w:r>
          <w:r>
            <w:instrText xml:space="preserve"> HYPERLINK \l "_Toc142753367" </w:instrText>
          </w:r>
          <w:r>
            <w:fldChar w:fldCharType="separate"/>
          </w:r>
          <w:r>
            <w:rPr>
              <w:rStyle w:val="16"/>
              <w:rFonts w:ascii="Times New Roman" w:hAnsi="Times New Roman" w:cs="Times New Roman"/>
              <w:bCs/>
              <w:sz w:val="24"/>
              <w:szCs w:val="24"/>
            </w:rPr>
            <w:t>Approval</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_Toc142753367 \h </w:instrText>
          </w:r>
          <w:r>
            <w:rPr>
              <w:rFonts w:ascii="Times New Roman" w:hAnsi="Times New Roman" w:cs="Times New Roman"/>
              <w:sz w:val="24"/>
              <w:szCs w:val="24"/>
            </w:rPr>
            <w:fldChar w:fldCharType="separate"/>
          </w:r>
          <w:r>
            <w:rPr>
              <w:rFonts w:ascii="Times New Roman" w:hAnsi="Times New Roman" w:cs="Times New Roman"/>
              <w:sz w:val="24"/>
              <w:szCs w:val="24"/>
            </w:rPr>
            <w:t>iii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"_Toc142753368" </w:instrText>
          </w:r>
          <w:r>
            <w:fldChar w:fldCharType="separate"/>
          </w:r>
          <w:r>
            <w:rPr>
              <w:rStyle w:val="16"/>
              <w:rFonts w:ascii="Times New Roman" w:hAnsi="Times New Roman" w:cs="Times New Roman"/>
              <w:sz w:val="24"/>
              <w:szCs w:val="24"/>
            </w:rPr>
            <w:t>Acknowledgement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_Toc142753368 \h </w:instrText>
          </w:r>
          <w:r>
            <w:rPr>
              <w:rFonts w:ascii="Times New Roman" w:hAnsi="Times New Roman" w:cs="Times New Roman"/>
              <w:sz w:val="24"/>
              <w:szCs w:val="24"/>
            </w:rPr>
            <w:fldChar w:fldCharType="separate"/>
          </w:r>
          <w:r>
            <w:rPr>
              <w:rFonts w:ascii="Times New Roman" w:hAnsi="Times New Roman" w:cs="Times New Roman"/>
              <w:sz w:val="24"/>
              <w:szCs w:val="24"/>
            </w:rPr>
            <w:t>iv</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"_Toc142753369" </w:instrText>
          </w:r>
          <w:r>
            <w:fldChar w:fldCharType="separate"/>
          </w:r>
          <w:r>
            <w:rPr>
              <w:rStyle w:val="16"/>
              <w:rFonts w:ascii="Times New Roman" w:hAnsi="Times New Roman" w:cs="Times New Roman"/>
              <w:bCs/>
              <w:sz w:val="24"/>
              <w:szCs w:val="24"/>
            </w:rPr>
            <w:t>Dedication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_Toc142753369 \h </w:instrText>
          </w:r>
          <w:r>
            <w:rPr>
              <w:rFonts w:ascii="Times New Roman" w:hAnsi="Times New Roman" w:cs="Times New Roman"/>
              <w:sz w:val="24"/>
              <w:szCs w:val="24"/>
            </w:rPr>
            <w:fldChar w:fldCharType="separate"/>
          </w:r>
          <w:r>
            <w:rPr>
              <w:rFonts w:ascii="Times New Roman" w:hAnsi="Times New Roman" w:cs="Times New Roman"/>
              <w:sz w:val="24"/>
              <w:szCs w:val="24"/>
            </w:rPr>
            <w:t>v</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"_Toc142753370" </w:instrText>
          </w:r>
          <w:r>
            <w:fldChar w:fldCharType="separate"/>
          </w:r>
          <w:r>
            <w:rPr>
              <w:rStyle w:val="16"/>
              <w:rFonts w:ascii="Times New Roman" w:hAnsi="Times New Roman" w:cs="Times New Roman"/>
              <w:sz w:val="24"/>
              <w:szCs w:val="24"/>
            </w:rPr>
            <w:t>List of Tables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_Toc142753370 \h </w:instrText>
          </w:r>
          <w:r>
            <w:rPr>
              <w:rFonts w:ascii="Times New Roman" w:hAnsi="Times New Roman" w:cs="Times New Roman"/>
              <w:sz w:val="24"/>
              <w:szCs w:val="24"/>
            </w:rPr>
            <w:fldChar w:fldCharType="separate"/>
          </w:r>
          <w:r>
            <w:rPr>
              <w:rFonts w:ascii="Times New Roman" w:hAnsi="Times New Roman" w:cs="Times New Roman"/>
              <w:sz w:val="24"/>
              <w:szCs w:val="24"/>
            </w:rPr>
            <w:t>viii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"_Toc142753371" </w:instrText>
          </w:r>
          <w:r>
            <w:fldChar w:fldCharType="separate"/>
          </w:r>
          <w:r>
            <w:rPr>
              <w:rStyle w:val="16"/>
              <w:rFonts w:ascii="Times New Roman" w:hAnsi="Times New Roman" w:cs="Times New Roman"/>
              <w:sz w:val="24"/>
              <w:szCs w:val="24"/>
            </w:rPr>
            <w:t>List of Figures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_Toc142753371 \h </w:instrText>
          </w:r>
          <w:r>
            <w:rPr>
              <w:rFonts w:ascii="Times New Roman" w:hAnsi="Times New Roman" w:cs="Times New Roman"/>
              <w:sz w:val="24"/>
              <w:szCs w:val="24"/>
            </w:rPr>
            <w:fldChar w:fldCharType="separate"/>
          </w:r>
          <w:r>
            <w:rPr>
              <w:rFonts w:ascii="Times New Roman" w:hAnsi="Times New Roman" w:cs="Times New Roman"/>
              <w:sz w:val="24"/>
              <w:szCs w:val="24"/>
            </w:rPr>
            <w:t>ix</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"_Toc142753372" </w:instrText>
          </w:r>
          <w:r>
            <w:fldChar w:fldCharType="separate"/>
          </w:r>
          <w:r>
            <w:rPr>
              <w:rStyle w:val="16"/>
              <w:rFonts w:ascii="Times New Roman" w:hAnsi="Times New Roman" w:cs="Times New Roman"/>
              <w:sz w:val="24"/>
              <w:szCs w:val="24"/>
            </w:rPr>
            <w:t>List of Appendices</w:t>
          </w:r>
          <w:r>
            <w:rPr>
              <w:rFonts w:ascii="Times New Roman" w:hAnsi="Times New Roman" w:cs="Times New Roman"/>
              <w:sz w:val="24"/>
              <w:szCs w:val="24"/>
            </w:rPr>
            <w:tab/>
          </w:r>
          <w:r>
            <w:rPr>
              <w:rFonts w:ascii="Times New Roman" w:hAnsi="Times New Roman" w:cs="Times New Roman"/>
              <w:sz w:val="24"/>
              <w:szCs w:val="24"/>
            </w:rPr>
            <w:t>x</w:t>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"_Toc142753373" </w:instrText>
          </w:r>
          <w:r>
            <w:fldChar w:fldCharType="separate"/>
          </w:r>
          <w:r>
            <w:rPr>
              <w:rStyle w:val="16"/>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_Toc142753373 \h </w:instrText>
          </w:r>
          <w:r>
            <w:rPr>
              <w:rFonts w:ascii="Times New Roman" w:hAnsi="Times New Roman" w:cs="Times New Roman"/>
              <w:sz w:val="24"/>
              <w:szCs w:val="24"/>
            </w:rPr>
            <w:fldChar w:fldCharType="separate"/>
          </w:r>
          <w:r>
            <w:rPr>
              <w:rFonts w:ascii="Times New Roman" w:hAnsi="Times New Roman" w:cs="Times New Roman"/>
              <w:sz w:val="24"/>
              <w:szCs w:val="24"/>
            </w:rPr>
            <w:t>xi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"_Toc142753374" </w:instrText>
          </w:r>
          <w:r>
            <w:fldChar w:fldCharType="separate"/>
          </w:r>
          <w:r>
            <w:rPr>
              <w:rStyle w:val="16"/>
              <w:rFonts w:ascii="Times New Roman" w:hAnsi="Times New Roman" w:cs="Times New Roman"/>
              <w:b/>
              <w:sz w:val="24"/>
              <w:szCs w:val="24"/>
            </w:rPr>
            <w:t>Chapter One: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_Toc142753374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"_Toc142753375" </w:instrText>
          </w:r>
          <w:r>
            <w:fldChar w:fldCharType="separate"/>
          </w:r>
          <w:r>
            <w:rPr>
              <w:rStyle w:val="16"/>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_Toc142753375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"_Toc142753376" </w:instrText>
          </w:r>
          <w:r>
            <w:fldChar w:fldCharType="separate"/>
          </w:r>
          <w:r>
            <w:rPr>
              <w:rStyle w:val="16"/>
              <w:rFonts w:ascii="Times New Roman" w:hAnsi="Times New Roman" w:cs="Times New Roman"/>
              <w:sz w:val="24"/>
              <w:szCs w:val="24"/>
            </w:rPr>
            <w:t>Background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_Toc142753376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"_Toc142753377" </w:instrText>
          </w:r>
          <w:r>
            <w:fldChar w:fldCharType="separate"/>
          </w:r>
          <w:r>
            <w:rPr>
              <w:rStyle w:val="16"/>
              <w:rFonts w:ascii="Times New Roman" w:hAnsi="Times New Roman" w:cs="Times New Roman"/>
              <w:bCs/>
              <w:sz w:val="24"/>
              <w:szCs w:val="24"/>
            </w:rPr>
            <w:t>Statement of the Problem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_Toc142753377 \h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"_Toc142753378" </w:instrText>
          </w:r>
          <w:r>
            <w:fldChar w:fldCharType="separate"/>
          </w:r>
          <w:r>
            <w:rPr>
              <w:rStyle w:val="16"/>
              <w:rFonts w:ascii="Times New Roman" w:hAnsi="Times New Roman" w:cs="Times New Roman"/>
              <w:sz w:val="24"/>
              <w:szCs w:val="24"/>
            </w:rPr>
            <w:t>Purpose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_Toc142753378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"_Toc142753379" </w:instrText>
          </w:r>
          <w:r>
            <w:fldChar w:fldCharType="separate"/>
          </w:r>
          <w:r>
            <w:rPr>
              <w:rStyle w:val="16"/>
              <w:rFonts w:ascii="Times New Roman" w:hAnsi="Times New Roman" w:cs="Times New Roman"/>
              <w:sz w:val="24"/>
              <w:szCs w:val="24"/>
            </w:rPr>
            <w:t>Research Objectives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_Toc142753379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"_Toc142753380" </w:instrText>
          </w:r>
          <w:r>
            <w:fldChar w:fldCharType="separate"/>
          </w:r>
          <w:r>
            <w:rPr>
              <w:rStyle w:val="16"/>
              <w:rFonts w:ascii="Times New Roman" w:hAnsi="Times New Roman" w:cs="Times New Roman"/>
              <w:sz w:val="24"/>
              <w:szCs w:val="24"/>
            </w:rPr>
            <w:t>Research Question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_Toc142753380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"_Toc142753381" </w:instrText>
          </w:r>
          <w:r>
            <w:fldChar w:fldCharType="separate"/>
          </w:r>
          <w:r>
            <w:rPr>
              <w:rStyle w:val="16"/>
              <w:rFonts w:ascii="Times New Roman" w:hAnsi="Times New Roman" w:cs="Times New Roman"/>
              <w:sz w:val="24"/>
              <w:szCs w:val="24"/>
            </w:rPr>
            <w:t>Scope of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_Toc142753381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"_Toc142753382" </w:instrText>
          </w:r>
          <w:r>
            <w:fldChar w:fldCharType="separate"/>
          </w:r>
          <w:r>
            <w:rPr>
              <w:rStyle w:val="16"/>
              <w:rFonts w:ascii="Times New Roman" w:hAnsi="Times New Roman" w:cs="Times New Roman"/>
              <w:sz w:val="24"/>
              <w:szCs w:val="24"/>
            </w:rPr>
            <w:t>Justification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_Toc142753382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"_Toc142753383" </w:instrText>
          </w:r>
          <w:r>
            <w:fldChar w:fldCharType="separate"/>
          </w:r>
          <w:r>
            <w:rPr>
              <w:rStyle w:val="16"/>
              <w:rFonts w:ascii="Times New Roman" w:hAnsi="Times New Roman" w:cs="Times New Roman"/>
              <w:sz w:val="24"/>
              <w:szCs w:val="24"/>
            </w:rPr>
            <w:t>Significance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_Toc142753383 \h </w:instrText>
          </w:r>
          <w:r>
            <w:rPr>
              <w:rFonts w:ascii="Times New Roman" w:hAnsi="Times New Roman" w:cs="Times New Roman"/>
              <w:sz w:val="24"/>
              <w:szCs w:val="24"/>
            </w:rPr>
            <w:fldChar w:fldCharType="separate"/>
          </w:r>
          <w:r>
            <w:rPr>
              <w:rFonts w:ascii="Times New Roman" w:hAnsi="Times New Roman" w:cs="Times New Roman"/>
              <w:sz w:val="24"/>
              <w:szCs w:val="24"/>
            </w:rPr>
            <w:t>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"_Toc142753387" </w:instrText>
          </w:r>
          <w:r>
            <w:fldChar w:fldCharType="separate"/>
          </w:r>
          <w:r>
            <w:rPr>
              <w:rStyle w:val="16"/>
              <w:rFonts w:ascii="Times New Roman" w:hAnsi="Times New Roman" w:cs="Times New Roman"/>
              <w:sz w:val="24"/>
              <w:szCs w:val="24"/>
            </w:rPr>
            <w:t>Study Variables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_Toc142753387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"_Toc142753388" </w:instrText>
          </w:r>
          <w:r>
            <w:fldChar w:fldCharType="separate"/>
          </w:r>
          <w:r>
            <w:rPr>
              <w:rStyle w:val="16"/>
              <w:rFonts w:ascii="Times New Roman" w:hAnsi="Times New Roman" w:cs="Times New Roman"/>
              <w:sz w:val="24"/>
              <w:szCs w:val="24"/>
            </w:rPr>
            <w:t>Conceptual Framework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_Toc142753388 \h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"_Toc142753390" </w:instrText>
          </w:r>
          <w:r>
            <w:fldChar w:fldCharType="separate"/>
          </w:r>
          <w:r>
            <w:rPr>
              <w:rStyle w:val="16"/>
              <w:rFonts w:ascii="Times New Roman" w:hAnsi="Times New Roman" w:cs="Times New Roman"/>
              <w:sz w:val="24"/>
              <w:szCs w:val="24"/>
            </w:rPr>
            <w:t>Theoretical Framework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_Toc142753390 \h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"_Toc142753391" </w:instrText>
          </w:r>
          <w:r>
            <w:fldChar w:fldCharType="separate"/>
          </w:r>
          <w:r>
            <w:rPr>
              <w:rStyle w:val="16"/>
              <w:rFonts w:ascii="Times New Roman" w:hAnsi="Times New Roman" w:cs="Times New Roman"/>
              <w:b/>
              <w:sz w:val="24"/>
              <w:szCs w:val="24"/>
            </w:rPr>
            <w:t>Chapter Two: Literature Review</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_Toc142753391 \h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"_Toc142753392" </w:instrText>
          </w:r>
          <w:r>
            <w:fldChar w:fldCharType="separate"/>
          </w:r>
          <w:r>
            <w:rPr>
              <w:rStyle w:val="16"/>
              <w:rFonts w:ascii="Times New Roman" w:hAnsi="Times New Roman" w:cs="Times New Roman"/>
              <w:sz w:val="24"/>
              <w:szCs w:val="24"/>
            </w:rPr>
            <w:t>Nurse’s knowledge towards postoperative pain assessment.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_Toc142753392 \h </w:instrText>
          </w:r>
          <w:r>
            <w:rPr>
              <w:rFonts w:ascii="Times New Roman" w:hAnsi="Times New Roman" w:cs="Times New Roman"/>
              <w:sz w:val="24"/>
              <w:szCs w:val="24"/>
            </w:rPr>
            <w:fldChar w:fldCharType="separate"/>
          </w:r>
          <w:r>
            <w:rPr>
              <w:rFonts w:ascii="Times New Roman" w:hAnsi="Times New Roman" w:cs="Times New Roman"/>
              <w:sz w:val="24"/>
              <w:szCs w:val="24"/>
            </w:rPr>
            <w:t>14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"_Toc142753394" </w:instrText>
          </w:r>
          <w:r>
            <w:fldChar w:fldCharType="separate"/>
          </w:r>
          <w:r>
            <w:rPr>
              <w:rStyle w:val="16"/>
              <w:rFonts w:ascii="Times New Roman" w:hAnsi="Times New Roman" w:cs="Times New Roman"/>
              <w:sz w:val="24"/>
              <w:szCs w:val="24"/>
            </w:rPr>
            <w:t>Nurses’ attitude towards post-operative pain management.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_Toc142753394 \h </w:instrText>
          </w:r>
          <w:r>
            <w:rPr>
              <w:rFonts w:ascii="Times New Roman" w:hAnsi="Times New Roman" w:cs="Times New Roman"/>
              <w:sz w:val="24"/>
              <w:szCs w:val="24"/>
            </w:rPr>
            <w:fldChar w:fldCharType="separate"/>
          </w:r>
          <w:r>
            <w:rPr>
              <w:rFonts w:ascii="Times New Roman" w:hAnsi="Times New Roman" w:cs="Times New Roman"/>
              <w:sz w:val="24"/>
              <w:szCs w:val="24"/>
            </w:rPr>
            <w:t>21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"_Toc142753396" </w:instrText>
          </w:r>
          <w:r>
            <w:fldChar w:fldCharType="separate"/>
          </w:r>
          <w:r>
            <w:rPr>
              <w:rStyle w:val="16"/>
              <w:rFonts w:ascii="Times New Roman" w:hAnsi="Times New Roman" w:cs="Times New Roman"/>
              <w:sz w:val="24"/>
              <w:szCs w:val="24"/>
            </w:rPr>
            <w:t>Nurses’ practice towards post-operative pain assessment.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_Toc142753396 \h </w:instrText>
          </w:r>
          <w:r>
            <w:rPr>
              <w:rFonts w:ascii="Times New Roman" w:hAnsi="Times New Roman" w:cs="Times New Roman"/>
              <w:sz w:val="24"/>
              <w:szCs w:val="24"/>
            </w:rPr>
            <w:fldChar w:fldCharType="separate"/>
          </w:r>
          <w:r>
            <w:rPr>
              <w:rFonts w:ascii="Times New Roman" w:hAnsi="Times New Roman" w:cs="Times New Roman"/>
              <w:sz w:val="24"/>
              <w:szCs w:val="24"/>
            </w:rPr>
            <w:t>25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"_Toc142753397" </w:instrText>
          </w:r>
          <w:r>
            <w:fldChar w:fldCharType="separate"/>
          </w:r>
          <w:r>
            <w:rPr>
              <w:rStyle w:val="16"/>
              <w:rFonts w:ascii="Times New Roman" w:hAnsi="Times New Roman" w:cs="Times New Roman"/>
              <w:b/>
              <w:sz w:val="24"/>
              <w:szCs w:val="24"/>
            </w:rPr>
            <w:t>Chapter Three: Methodology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_Toc142753397 \h </w:instrText>
          </w:r>
          <w:r>
            <w:rPr>
              <w:rFonts w:ascii="Times New Roman" w:hAnsi="Times New Roman" w:cs="Times New Roman"/>
              <w:sz w:val="24"/>
              <w:szCs w:val="24"/>
            </w:rPr>
            <w:fldChar w:fldCharType="separate"/>
          </w:r>
          <w:r>
            <w:rPr>
              <w:rFonts w:ascii="Times New Roman" w:hAnsi="Times New Roman" w:cs="Times New Roman"/>
              <w:sz w:val="24"/>
              <w:szCs w:val="24"/>
            </w:rPr>
            <w:t>33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"_Toc142753398" </w:instrText>
          </w:r>
          <w:r>
            <w:fldChar w:fldCharType="separate"/>
          </w:r>
          <w:r>
            <w:rPr>
              <w:rStyle w:val="16"/>
              <w:rFonts w:ascii="Times New Roman" w:hAnsi="Times New Roman" w:cs="Times New Roman"/>
              <w:sz w:val="24"/>
              <w:szCs w:val="24"/>
              <w:lang w:eastAsia="ja-JP"/>
            </w:rPr>
            <w:t>Study design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_Toc142753398 \h </w:instrText>
          </w:r>
          <w:r>
            <w:rPr>
              <w:rFonts w:ascii="Times New Roman" w:hAnsi="Times New Roman" w:cs="Times New Roman"/>
              <w:sz w:val="24"/>
              <w:szCs w:val="24"/>
            </w:rPr>
            <w:fldChar w:fldCharType="separate"/>
          </w:r>
          <w:r>
            <w:rPr>
              <w:rFonts w:ascii="Times New Roman" w:hAnsi="Times New Roman" w:cs="Times New Roman"/>
              <w:sz w:val="24"/>
              <w:szCs w:val="24"/>
            </w:rPr>
            <w:t>33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"_Toc142753400" </w:instrText>
          </w:r>
          <w:r>
            <w:fldChar w:fldCharType="separate"/>
          </w:r>
          <w:r>
            <w:rPr>
              <w:rStyle w:val="16"/>
              <w:rFonts w:ascii="Times New Roman" w:hAnsi="Times New Roman" w:cs="Times New Roman"/>
              <w:sz w:val="24"/>
              <w:szCs w:val="24"/>
            </w:rPr>
            <w:t>Study area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_Toc142753400 \h </w:instrText>
          </w:r>
          <w:r>
            <w:rPr>
              <w:rFonts w:ascii="Times New Roman" w:hAnsi="Times New Roman" w:cs="Times New Roman"/>
              <w:sz w:val="24"/>
              <w:szCs w:val="24"/>
            </w:rPr>
            <w:fldChar w:fldCharType="separate"/>
          </w:r>
          <w:r>
            <w:rPr>
              <w:rFonts w:ascii="Times New Roman" w:hAnsi="Times New Roman" w:cs="Times New Roman"/>
              <w:sz w:val="24"/>
              <w:szCs w:val="24"/>
            </w:rPr>
            <w:t>33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"_Toc142753401" </w:instrText>
          </w:r>
          <w:r>
            <w:fldChar w:fldCharType="separate"/>
          </w:r>
          <w:r>
            <w:rPr>
              <w:rStyle w:val="16"/>
              <w:rFonts w:ascii="Times New Roman" w:hAnsi="Times New Roman" w:cs="Times New Roman"/>
              <w:sz w:val="24"/>
              <w:szCs w:val="24"/>
            </w:rPr>
            <w:t>Study population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_Toc142753401 \h </w:instrText>
          </w:r>
          <w:r>
            <w:rPr>
              <w:rFonts w:ascii="Times New Roman" w:hAnsi="Times New Roman" w:cs="Times New Roman"/>
              <w:sz w:val="24"/>
              <w:szCs w:val="24"/>
            </w:rPr>
            <w:fldChar w:fldCharType="separate"/>
          </w:r>
          <w:r>
            <w:rPr>
              <w:rFonts w:ascii="Times New Roman" w:hAnsi="Times New Roman" w:cs="Times New Roman"/>
              <w:sz w:val="24"/>
              <w:szCs w:val="24"/>
            </w:rPr>
            <w:t>34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"_Toc142753402" </w:instrText>
          </w:r>
          <w:r>
            <w:fldChar w:fldCharType="separate"/>
          </w:r>
          <w:r>
            <w:rPr>
              <w:rStyle w:val="16"/>
              <w:rFonts w:ascii="Times New Roman" w:hAnsi="Times New Roman" w:cs="Times New Roman"/>
              <w:sz w:val="24"/>
              <w:szCs w:val="24"/>
            </w:rPr>
            <w:t>Sample size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_Toc142753402 \h </w:instrText>
          </w:r>
          <w:r>
            <w:rPr>
              <w:rFonts w:ascii="Times New Roman" w:hAnsi="Times New Roman" w:cs="Times New Roman"/>
              <w:sz w:val="24"/>
              <w:szCs w:val="24"/>
            </w:rPr>
            <w:fldChar w:fldCharType="separate"/>
          </w:r>
          <w:r>
            <w:rPr>
              <w:rFonts w:ascii="Times New Roman" w:hAnsi="Times New Roman" w:cs="Times New Roman"/>
              <w:sz w:val="24"/>
              <w:szCs w:val="24"/>
            </w:rPr>
            <w:t>34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"_Toc142753403" </w:instrText>
          </w:r>
          <w:r>
            <w:fldChar w:fldCharType="separate"/>
          </w:r>
          <w:r>
            <w:rPr>
              <w:rStyle w:val="16"/>
              <w:rFonts w:ascii="Times New Roman" w:hAnsi="Times New Roman" w:cs="Times New Roman"/>
              <w:sz w:val="24"/>
              <w:szCs w:val="24"/>
              <w:lang w:eastAsia="ja-JP"/>
            </w:rPr>
            <w:t>Inclusion criteria.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_Toc142753403 \h </w:instrText>
          </w:r>
          <w:r>
            <w:rPr>
              <w:rFonts w:ascii="Times New Roman" w:hAnsi="Times New Roman" w:cs="Times New Roman"/>
              <w:sz w:val="24"/>
              <w:szCs w:val="24"/>
            </w:rPr>
            <w:fldChar w:fldCharType="separate"/>
          </w:r>
          <w:r>
            <w:rPr>
              <w:rFonts w:ascii="Times New Roman" w:hAnsi="Times New Roman" w:cs="Times New Roman"/>
              <w:sz w:val="24"/>
              <w:szCs w:val="24"/>
            </w:rPr>
            <w:t>35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3"/>
            <w:tabs>
              <w:tab w:val="right" w:leader="dot" w:pos="9350"/>
            </w:tabs>
            <w:ind w:left="0"/>
            <w:rPr>
              <w:rFonts w:ascii="Times New Roman" w:hAnsi="Times New Roman" w:cs="Times New Roman" w:eastAsiaTheme="minorEastAsia"/>
              <w:sz w:val="24"/>
              <w:szCs w:val="24"/>
            </w:rPr>
          </w:pPr>
          <w:r>
            <w:rPr>
              <w:rStyle w:val="16"/>
              <w:rFonts w:ascii="Times New Roman" w:hAnsi="Times New Roman" w:cs="Times New Roman"/>
              <w:sz w:val="24"/>
              <w:szCs w:val="24"/>
              <w:u w:val="none"/>
            </w:rPr>
            <w:t xml:space="preserve">   </w:t>
          </w:r>
          <w:r>
            <w:fldChar w:fldCharType="begin"/>
          </w:r>
          <w:r>
            <w:instrText xml:space="preserve"> HYPERLINK \l "_Toc142753404" </w:instrText>
          </w:r>
          <w:r>
            <w:fldChar w:fldCharType="separate"/>
          </w:r>
          <w:r>
            <w:rPr>
              <w:rStyle w:val="16"/>
              <w:rFonts w:ascii="Times New Roman" w:hAnsi="Times New Roman" w:eastAsia="MS Mincho" w:cs="Times New Roman"/>
              <w:bCs/>
              <w:sz w:val="24"/>
              <w:szCs w:val="24"/>
              <w:lang w:eastAsia="ja-JP"/>
            </w:rPr>
            <w:t>Exclusion criteria.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_Toc142753404 \h </w:instrText>
          </w:r>
          <w:r>
            <w:rPr>
              <w:rFonts w:ascii="Times New Roman" w:hAnsi="Times New Roman" w:cs="Times New Roman"/>
              <w:sz w:val="24"/>
              <w:szCs w:val="24"/>
            </w:rPr>
            <w:fldChar w:fldCharType="separate"/>
          </w:r>
          <w:r>
            <w:rPr>
              <w:rFonts w:ascii="Times New Roman" w:hAnsi="Times New Roman" w:cs="Times New Roman"/>
              <w:sz w:val="24"/>
              <w:szCs w:val="24"/>
            </w:rPr>
            <w:t>35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"_Toc142753405" </w:instrText>
          </w:r>
          <w:r>
            <w:fldChar w:fldCharType="separate"/>
          </w:r>
          <w:r>
            <w:rPr>
              <w:rStyle w:val="16"/>
              <w:rFonts w:ascii="Times New Roman" w:hAnsi="Times New Roman" w:cs="Times New Roman"/>
              <w:sz w:val="24"/>
              <w:szCs w:val="24"/>
              <w:lang w:eastAsia="ja-JP"/>
            </w:rPr>
            <w:t>Sampling method.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_Toc142753405 \h </w:instrText>
          </w:r>
          <w:r>
            <w:rPr>
              <w:rFonts w:ascii="Times New Roman" w:hAnsi="Times New Roman" w:cs="Times New Roman"/>
              <w:sz w:val="24"/>
              <w:szCs w:val="24"/>
            </w:rPr>
            <w:fldChar w:fldCharType="separate"/>
          </w:r>
          <w:r>
            <w:rPr>
              <w:rFonts w:ascii="Times New Roman" w:hAnsi="Times New Roman" w:cs="Times New Roman"/>
              <w:sz w:val="24"/>
              <w:szCs w:val="24"/>
            </w:rPr>
            <w:t>35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"_Toc142753406" </w:instrText>
          </w:r>
          <w:r>
            <w:fldChar w:fldCharType="separate"/>
          </w:r>
          <w:r>
            <w:rPr>
              <w:rStyle w:val="16"/>
              <w:rFonts w:ascii="Times New Roman" w:hAnsi="Times New Roman" w:cs="Times New Roman"/>
              <w:sz w:val="24"/>
              <w:szCs w:val="24"/>
              <w:lang w:eastAsia="ja-JP"/>
            </w:rPr>
            <w:t>Data collection process and procedure.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_Toc142753406 \h </w:instrText>
          </w:r>
          <w:r>
            <w:rPr>
              <w:rFonts w:ascii="Times New Roman" w:hAnsi="Times New Roman" w:cs="Times New Roman"/>
              <w:sz w:val="24"/>
              <w:szCs w:val="24"/>
            </w:rPr>
            <w:fldChar w:fldCharType="separate"/>
          </w:r>
          <w:r>
            <w:rPr>
              <w:rFonts w:ascii="Times New Roman" w:hAnsi="Times New Roman" w:cs="Times New Roman"/>
              <w:sz w:val="24"/>
              <w:szCs w:val="24"/>
            </w:rPr>
            <w:t>35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"_Toc142753407" </w:instrText>
          </w:r>
          <w:r>
            <w:fldChar w:fldCharType="separate"/>
          </w:r>
          <w:r>
            <w:rPr>
              <w:rStyle w:val="16"/>
              <w:rFonts w:ascii="Times New Roman" w:hAnsi="Times New Roman" w:cs="Times New Roman"/>
              <w:sz w:val="24"/>
              <w:szCs w:val="24"/>
              <w:lang w:eastAsia="ja-JP"/>
            </w:rPr>
            <w:t>Research instruments.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_Toc142753407 \h </w:instrText>
          </w:r>
          <w:r>
            <w:rPr>
              <w:rFonts w:ascii="Times New Roman" w:hAnsi="Times New Roman" w:cs="Times New Roman"/>
              <w:sz w:val="24"/>
              <w:szCs w:val="24"/>
            </w:rPr>
            <w:fldChar w:fldCharType="separate"/>
          </w:r>
          <w:r>
            <w:rPr>
              <w:rFonts w:ascii="Times New Roman" w:hAnsi="Times New Roman" w:cs="Times New Roman"/>
              <w:sz w:val="24"/>
              <w:szCs w:val="24"/>
            </w:rPr>
            <w:t>36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"_Toc142753408" </w:instrText>
          </w:r>
          <w:r>
            <w:fldChar w:fldCharType="separate"/>
          </w:r>
          <w:r>
            <w:rPr>
              <w:rStyle w:val="16"/>
              <w:rFonts w:ascii="Times New Roman" w:hAnsi="Times New Roman" w:cs="Times New Roman"/>
              <w:sz w:val="24"/>
              <w:szCs w:val="24"/>
              <w:lang w:eastAsia="ja-JP"/>
            </w:rPr>
            <w:t>Validity.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_Toc142753408 \h </w:instrText>
          </w:r>
          <w:r>
            <w:rPr>
              <w:rFonts w:ascii="Times New Roman" w:hAnsi="Times New Roman" w:cs="Times New Roman"/>
              <w:sz w:val="24"/>
              <w:szCs w:val="24"/>
            </w:rPr>
            <w:fldChar w:fldCharType="separate"/>
          </w:r>
          <w:r>
            <w:rPr>
              <w:rFonts w:ascii="Times New Roman" w:hAnsi="Times New Roman" w:cs="Times New Roman"/>
              <w:sz w:val="24"/>
              <w:szCs w:val="24"/>
            </w:rPr>
            <w:t>36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"_Toc142753409" </w:instrText>
          </w:r>
          <w:r>
            <w:fldChar w:fldCharType="separate"/>
          </w:r>
          <w:r>
            <w:rPr>
              <w:rStyle w:val="16"/>
              <w:rFonts w:ascii="Times New Roman" w:hAnsi="Times New Roman" w:cs="Times New Roman"/>
              <w:sz w:val="24"/>
              <w:szCs w:val="24"/>
              <w:lang w:eastAsia="ja-JP"/>
            </w:rPr>
            <w:t>Reliability.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_Toc142753409 \h </w:instrText>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"_Toc142753410" </w:instrText>
          </w:r>
          <w:r>
            <w:fldChar w:fldCharType="separate"/>
          </w:r>
          <w:r>
            <w:rPr>
              <w:rStyle w:val="16"/>
              <w:rFonts w:ascii="Times New Roman" w:hAnsi="Times New Roman" w:cs="Times New Roman"/>
              <w:sz w:val="24"/>
              <w:szCs w:val="24"/>
              <w:lang w:eastAsia="ja-JP"/>
            </w:rPr>
            <w:t>Data management plan and analysis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_Toc142753410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3"/>
            <w:tabs>
              <w:tab w:val="right" w:leader="dot" w:pos="9350"/>
            </w:tabs>
            <w:ind w:hanging="170"/>
            <w:rPr>
              <w:rFonts w:ascii="Times New Roman" w:hAnsi="Times New Roman" w:cs="Times New Roman" w:eastAsiaTheme="minorEastAsia"/>
              <w:sz w:val="24"/>
              <w:szCs w:val="24"/>
            </w:rPr>
          </w:pPr>
          <w:r>
            <w:fldChar w:fldCharType="begin"/>
          </w:r>
          <w:r>
            <w:instrText xml:space="preserve"> HYPERLINK \l "_Toc142753411" </w:instrText>
          </w:r>
          <w:r>
            <w:fldChar w:fldCharType="separate"/>
          </w:r>
          <w:r>
            <w:rPr>
              <w:rStyle w:val="16"/>
              <w:rFonts w:ascii="Times New Roman" w:hAnsi="Times New Roman" w:eastAsia="MS Mincho" w:cs="Times New Roman"/>
              <w:bCs/>
              <w:sz w:val="24"/>
              <w:szCs w:val="24"/>
              <w:lang w:eastAsia="ja-JP"/>
            </w:rPr>
            <w:t>Rights of human subject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_Toc142753411 \h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"_Toc142753412" </w:instrText>
          </w:r>
          <w:r>
            <w:fldChar w:fldCharType="separate"/>
          </w:r>
          <w:r>
            <w:rPr>
              <w:rStyle w:val="16"/>
              <w:rFonts w:ascii="Times New Roman" w:hAnsi="Times New Roman" w:cs="Times New Roman"/>
              <w:sz w:val="24"/>
              <w:szCs w:val="24"/>
              <w:lang w:eastAsia="ja-JP"/>
            </w:rPr>
            <w:t>Ethical consideration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_Toc142753412 \h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"_Toc142753418" </w:instrText>
          </w:r>
          <w:r>
            <w:fldChar w:fldCharType="separate"/>
          </w:r>
          <w:r>
            <w:rPr>
              <w:rStyle w:val="16"/>
              <w:rFonts w:ascii="Times New Roman" w:hAnsi="Times New Roman" w:cs="Times New Roman"/>
              <w:sz w:val="24"/>
              <w:szCs w:val="24"/>
              <w:lang w:eastAsia="ja-JP"/>
            </w:rPr>
            <w:t>Limitations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_Toc142753418 \h </w:instrText>
          </w:r>
          <w:r>
            <w:rPr>
              <w:rFonts w:ascii="Times New Roman" w:hAnsi="Times New Roman" w:cs="Times New Roman"/>
              <w:sz w:val="24"/>
              <w:szCs w:val="24"/>
            </w:rPr>
            <w:fldChar w:fldCharType="separate"/>
          </w:r>
          <w:r>
            <w:rPr>
              <w:rFonts w:ascii="Times New Roman" w:hAnsi="Times New Roman" w:cs="Times New Roman"/>
              <w:sz w:val="24"/>
              <w:szCs w:val="24"/>
            </w:rPr>
            <w:t>40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"_Toc142753419" </w:instrText>
          </w:r>
          <w:r>
            <w:fldChar w:fldCharType="separate"/>
          </w:r>
          <w:r>
            <w:rPr>
              <w:rStyle w:val="16"/>
              <w:rFonts w:ascii="Times New Roman" w:hAnsi="Times New Roman" w:cs="Times New Roman"/>
              <w:b/>
              <w:sz w:val="24"/>
              <w:szCs w:val="24"/>
            </w:rPr>
            <w:t>Chapter Four: Data Analysis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_Toc142753419 \h </w:instrText>
          </w:r>
          <w:r>
            <w:rPr>
              <w:rFonts w:ascii="Times New Roman" w:hAnsi="Times New Roman" w:cs="Times New Roman"/>
              <w:sz w:val="24"/>
              <w:szCs w:val="24"/>
            </w:rPr>
            <w:fldChar w:fldCharType="separate"/>
          </w:r>
          <w:r>
            <w:rPr>
              <w:rFonts w:ascii="Times New Roman" w:hAnsi="Times New Roman" w:cs="Times New Roman"/>
              <w:sz w:val="24"/>
              <w:szCs w:val="24"/>
            </w:rPr>
            <w:t>41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"_Toc142753420" </w:instrText>
          </w:r>
          <w:r>
            <w:fldChar w:fldCharType="separate"/>
          </w:r>
          <w:r>
            <w:rPr>
              <w:rStyle w:val="16"/>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_Toc142753420 \h </w:instrText>
          </w:r>
          <w:r>
            <w:rPr>
              <w:rFonts w:ascii="Times New Roman" w:hAnsi="Times New Roman" w:cs="Times New Roman"/>
              <w:sz w:val="24"/>
              <w:szCs w:val="24"/>
            </w:rPr>
            <w:fldChar w:fldCharType="separate"/>
          </w:r>
          <w:r>
            <w:rPr>
              <w:rFonts w:ascii="Times New Roman" w:hAnsi="Times New Roman" w:cs="Times New Roman"/>
              <w:sz w:val="24"/>
              <w:szCs w:val="24"/>
            </w:rPr>
            <w:t>41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"_Toc142753421" </w:instrText>
          </w:r>
          <w:r>
            <w:fldChar w:fldCharType="separate"/>
          </w:r>
          <w:r>
            <w:rPr>
              <w:rStyle w:val="16"/>
              <w:rFonts w:ascii="Times New Roman" w:hAnsi="Times New Roman" w:cs="Times New Roman"/>
              <w:sz w:val="24"/>
              <w:szCs w:val="24"/>
            </w:rPr>
            <w:t>Demographic characteristics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_Toc142753421 \h </w:instrText>
          </w:r>
          <w:r>
            <w:rPr>
              <w:rFonts w:ascii="Times New Roman" w:hAnsi="Times New Roman" w:cs="Times New Roman"/>
              <w:sz w:val="24"/>
              <w:szCs w:val="24"/>
            </w:rPr>
            <w:fldChar w:fldCharType="separate"/>
          </w:r>
          <w:r>
            <w:rPr>
              <w:rFonts w:ascii="Times New Roman" w:hAnsi="Times New Roman" w:cs="Times New Roman"/>
              <w:sz w:val="24"/>
              <w:szCs w:val="24"/>
            </w:rPr>
            <w:t>42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"_Toc142753422" </w:instrText>
          </w:r>
          <w:r>
            <w:fldChar w:fldCharType="separate"/>
          </w:r>
          <w:r>
            <w:rPr>
              <w:rStyle w:val="16"/>
              <w:rFonts w:ascii="Times New Roman" w:hAnsi="Times New Roman" w:cs="Times New Roman"/>
              <w:sz w:val="24"/>
              <w:szCs w:val="24"/>
            </w:rPr>
            <w:t>Pretest Knowledge of Postoperative Pain Management on the Surgical Ward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_Toc142753422 \h </w:instrText>
          </w:r>
          <w:r>
            <w:rPr>
              <w:rFonts w:ascii="Times New Roman" w:hAnsi="Times New Roman" w:cs="Times New Roman"/>
              <w:sz w:val="24"/>
              <w:szCs w:val="24"/>
            </w:rPr>
            <w:fldChar w:fldCharType="separate"/>
          </w:r>
          <w:r>
            <w:rPr>
              <w:rFonts w:ascii="Times New Roman" w:hAnsi="Times New Roman" w:cs="Times New Roman"/>
              <w:sz w:val="24"/>
              <w:szCs w:val="24"/>
            </w:rPr>
            <w:t>44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"_Toc142753424" </w:instrText>
          </w:r>
          <w:r>
            <w:fldChar w:fldCharType="separate"/>
          </w:r>
          <w:r>
            <w:rPr>
              <w:rStyle w:val="16"/>
              <w:rFonts w:ascii="Times New Roman" w:hAnsi="Times New Roman" w:cs="Times New Roman"/>
              <w:sz w:val="24"/>
              <w:szCs w:val="24"/>
            </w:rPr>
            <w:t>Posttest Knowledge of Postoperative Pain Management on the Surgical Ward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_Toc142753424 \h </w:instrText>
          </w:r>
          <w:r>
            <w:rPr>
              <w:rFonts w:ascii="Times New Roman" w:hAnsi="Times New Roman" w:cs="Times New Roman"/>
              <w:sz w:val="24"/>
              <w:szCs w:val="24"/>
            </w:rPr>
            <w:fldChar w:fldCharType="separate"/>
          </w:r>
          <w:r>
            <w:rPr>
              <w:rFonts w:ascii="Times New Roman" w:hAnsi="Times New Roman" w:cs="Times New Roman"/>
              <w:sz w:val="24"/>
              <w:szCs w:val="24"/>
            </w:rPr>
            <w:t>49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"_Toc142753426" </w:instrText>
          </w:r>
          <w:r>
            <w:fldChar w:fldCharType="separate"/>
          </w:r>
          <w:r>
            <w:rPr>
              <w:rStyle w:val="16"/>
              <w:rFonts w:ascii="Times New Roman" w:hAnsi="Times New Roman" w:cs="Times New Roman"/>
              <w:sz w:val="24"/>
              <w:szCs w:val="24"/>
            </w:rPr>
            <w:t>Effect of Educational Intervention on Nurse’s Knowledge towards Post-operative Pain Management.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_Toc142753426 \h </w:instrText>
          </w:r>
          <w:r>
            <w:rPr>
              <w:rFonts w:ascii="Times New Roman" w:hAnsi="Times New Roman" w:cs="Times New Roman"/>
              <w:sz w:val="24"/>
              <w:szCs w:val="24"/>
            </w:rPr>
            <w:fldChar w:fldCharType="separate"/>
          </w:r>
          <w:r>
            <w:rPr>
              <w:rFonts w:ascii="Times New Roman" w:hAnsi="Times New Roman" w:cs="Times New Roman"/>
              <w:sz w:val="24"/>
              <w:szCs w:val="24"/>
            </w:rPr>
            <w:t>55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"_Toc142753427" </w:instrText>
          </w:r>
          <w:r>
            <w:fldChar w:fldCharType="separate"/>
          </w:r>
          <w:r>
            <w:rPr>
              <w:rStyle w:val="16"/>
              <w:rFonts w:ascii="Times New Roman" w:hAnsi="Times New Roman" w:cs="Times New Roman"/>
              <w:sz w:val="24"/>
              <w:szCs w:val="24"/>
            </w:rPr>
            <w:t>Attitude Pretest toward Postoperative Pain Management on the Surgical Ward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_Toc142753427 \h </w:instrText>
          </w:r>
          <w:r>
            <w:rPr>
              <w:rFonts w:ascii="Times New Roman" w:hAnsi="Times New Roman" w:cs="Times New Roman"/>
              <w:sz w:val="24"/>
              <w:szCs w:val="24"/>
            </w:rPr>
            <w:fldChar w:fldCharType="separate"/>
          </w:r>
          <w:r>
            <w:rPr>
              <w:rFonts w:ascii="Times New Roman" w:hAnsi="Times New Roman" w:cs="Times New Roman"/>
              <w:sz w:val="24"/>
              <w:szCs w:val="24"/>
            </w:rPr>
            <w:t>56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"_Toc142753428" </w:instrText>
          </w:r>
          <w:r>
            <w:fldChar w:fldCharType="separate"/>
          </w:r>
          <w:r>
            <w:rPr>
              <w:rStyle w:val="16"/>
              <w:rFonts w:ascii="Times New Roman" w:hAnsi="Times New Roman" w:cs="Times New Roman"/>
              <w:sz w:val="24"/>
              <w:szCs w:val="24"/>
            </w:rPr>
            <w:t>The Effect of Integrating the Pain Assessment Scale on the Nurse’s Attitude towards Post Operative Pain Management.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_Toc142753428 \h </w:instrText>
          </w:r>
          <w:r>
            <w:rPr>
              <w:rFonts w:ascii="Times New Roman" w:hAnsi="Times New Roman" w:cs="Times New Roman"/>
              <w:sz w:val="24"/>
              <w:szCs w:val="24"/>
            </w:rPr>
            <w:fldChar w:fldCharType="separate"/>
          </w:r>
          <w:r>
            <w:rPr>
              <w:rFonts w:ascii="Times New Roman" w:hAnsi="Times New Roman" w:cs="Times New Roman"/>
              <w:sz w:val="24"/>
              <w:szCs w:val="24"/>
            </w:rPr>
            <w:t>61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"_Toc142753430" </w:instrText>
          </w:r>
          <w:r>
            <w:fldChar w:fldCharType="separate"/>
          </w:r>
          <w:r>
            <w:rPr>
              <w:rStyle w:val="16"/>
              <w:rFonts w:ascii="Times New Roman" w:hAnsi="Times New Roman" w:cs="Times New Roman"/>
              <w:b/>
              <w:sz w:val="24"/>
              <w:szCs w:val="24"/>
            </w:rPr>
            <w:t>Chapter Five: Discussion of Findings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_Toc142753430 \h </w:instrText>
          </w:r>
          <w:r>
            <w:rPr>
              <w:rFonts w:ascii="Times New Roman" w:hAnsi="Times New Roman" w:cs="Times New Roman"/>
              <w:sz w:val="24"/>
              <w:szCs w:val="24"/>
            </w:rPr>
            <w:fldChar w:fldCharType="separate"/>
          </w:r>
          <w:r>
            <w:rPr>
              <w:rFonts w:ascii="Times New Roman" w:hAnsi="Times New Roman" w:cs="Times New Roman"/>
              <w:sz w:val="24"/>
              <w:szCs w:val="24"/>
            </w:rPr>
            <w:t>66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"_Toc142753431" </w:instrText>
          </w:r>
          <w:r>
            <w:fldChar w:fldCharType="separate"/>
          </w:r>
          <w:r>
            <w:rPr>
              <w:rStyle w:val="16"/>
              <w:rFonts w:ascii="Times New Roman" w:hAnsi="Times New Roman" w:cs="Times New Roman"/>
              <w:sz w:val="24"/>
              <w:szCs w:val="24"/>
            </w:rPr>
            <w:t>Nurses’ knowledge of the management of post-operative pain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_Toc142753431 \h </w:instrText>
          </w:r>
          <w:r>
            <w:rPr>
              <w:rFonts w:ascii="Times New Roman" w:hAnsi="Times New Roman" w:cs="Times New Roman"/>
              <w:sz w:val="24"/>
              <w:szCs w:val="24"/>
            </w:rPr>
            <w:fldChar w:fldCharType="separate"/>
          </w:r>
          <w:r>
            <w:rPr>
              <w:rFonts w:ascii="Times New Roman" w:hAnsi="Times New Roman" w:cs="Times New Roman"/>
              <w:sz w:val="24"/>
              <w:szCs w:val="24"/>
            </w:rPr>
            <w:t>66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"_Toc142753432" </w:instrText>
          </w:r>
          <w:r>
            <w:fldChar w:fldCharType="separate"/>
          </w:r>
          <w:r>
            <w:rPr>
              <w:rStyle w:val="16"/>
              <w:rFonts w:ascii="Times New Roman" w:hAnsi="Times New Roman" w:cs="Times New Roman"/>
              <w:sz w:val="24"/>
              <w:szCs w:val="24"/>
            </w:rPr>
            <w:t>Nurses' attitude towards post-operative pain management.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_Toc142753432 \h </w:instrText>
          </w:r>
          <w:r>
            <w:rPr>
              <w:rFonts w:ascii="Times New Roman" w:hAnsi="Times New Roman" w:cs="Times New Roman"/>
              <w:sz w:val="24"/>
              <w:szCs w:val="24"/>
            </w:rPr>
            <w:fldChar w:fldCharType="separate"/>
          </w:r>
          <w:r>
            <w:rPr>
              <w:rFonts w:ascii="Times New Roman" w:hAnsi="Times New Roman" w:cs="Times New Roman"/>
              <w:sz w:val="24"/>
              <w:szCs w:val="24"/>
            </w:rPr>
            <w:t>69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"_Toc142753433" </w:instrText>
          </w:r>
          <w:r>
            <w:fldChar w:fldCharType="separate"/>
          </w:r>
          <w:r>
            <w:rPr>
              <w:rStyle w:val="16"/>
              <w:rFonts w:ascii="Times New Roman" w:hAnsi="Times New Roman" w:cs="Times New Roman"/>
              <w:bCs/>
              <w:sz w:val="24"/>
              <w:szCs w:val="24"/>
            </w:rPr>
            <w:t>Nurses’ Practice in the</w:t>
          </w:r>
          <w:r>
            <w:rPr>
              <w:rStyle w:val="16"/>
              <w:rFonts w:ascii="Times New Roman" w:hAnsi="Times New Roman" w:cs="Times New Roman"/>
              <w:sz w:val="24"/>
              <w:szCs w:val="24"/>
            </w:rPr>
            <w:t xml:space="preserve"> Management of Post–Operative Pain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_Toc142753433 \h </w:instrText>
          </w:r>
          <w:r>
            <w:rPr>
              <w:rFonts w:ascii="Times New Roman" w:hAnsi="Times New Roman" w:cs="Times New Roman"/>
              <w:sz w:val="24"/>
              <w:szCs w:val="24"/>
            </w:rPr>
            <w:fldChar w:fldCharType="separate"/>
          </w:r>
          <w:r>
            <w:rPr>
              <w:rFonts w:ascii="Times New Roman" w:hAnsi="Times New Roman" w:cs="Times New Roman"/>
              <w:sz w:val="24"/>
              <w:szCs w:val="24"/>
            </w:rPr>
            <w:t>70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"_Toc142753434" </w:instrText>
          </w:r>
          <w:r>
            <w:fldChar w:fldCharType="separate"/>
          </w:r>
          <w:r>
            <w:rPr>
              <w:rStyle w:val="16"/>
              <w:rFonts w:ascii="Times New Roman" w:hAnsi="Times New Roman" w:cs="Times New Roman"/>
              <w:sz w:val="24"/>
              <w:szCs w:val="24"/>
            </w:rPr>
            <w:t>Limitations of the Research</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_Toc142753434 \h </w:instrText>
          </w:r>
          <w:r>
            <w:rPr>
              <w:rFonts w:ascii="Times New Roman" w:hAnsi="Times New Roman" w:cs="Times New Roman"/>
              <w:sz w:val="24"/>
              <w:szCs w:val="24"/>
            </w:rPr>
            <w:fldChar w:fldCharType="separate"/>
          </w:r>
          <w:r>
            <w:rPr>
              <w:rFonts w:ascii="Times New Roman" w:hAnsi="Times New Roman" w:cs="Times New Roman"/>
              <w:sz w:val="24"/>
              <w:szCs w:val="24"/>
            </w:rPr>
            <w:t>72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"_Toc142753435" </w:instrText>
          </w:r>
          <w:r>
            <w:fldChar w:fldCharType="separate"/>
          </w:r>
          <w:r>
            <w:rPr>
              <w:rStyle w:val="16"/>
              <w:rFonts w:ascii="Times New Roman" w:hAnsi="Times New Roman" w:cs="Times New Roman"/>
              <w:bCs/>
              <w:sz w:val="24"/>
              <w:szCs w:val="24"/>
            </w:rPr>
            <w:t>Conclusion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_Toc142753435 \h </w:instrText>
          </w:r>
          <w:r>
            <w:rPr>
              <w:rFonts w:ascii="Times New Roman" w:hAnsi="Times New Roman" w:cs="Times New Roman"/>
              <w:sz w:val="24"/>
              <w:szCs w:val="24"/>
            </w:rPr>
            <w:fldChar w:fldCharType="separate"/>
          </w:r>
          <w:r>
            <w:rPr>
              <w:rFonts w:ascii="Times New Roman" w:hAnsi="Times New Roman" w:cs="Times New Roman"/>
              <w:sz w:val="24"/>
              <w:szCs w:val="24"/>
            </w:rPr>
            <w:t>73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"_Toc142753436" </w:instrText>
          </w:r>
          <w:r>
            <w:fldChar w:fldCharType="separate"/>
          </w:r>
          <w:r>
            <w:rPr>
              <w:rStyle w:val="16"/>
              <w:rFonts w:ascii="Times New Roman" w:hAnsi="Times New Roman" w:cs="Times New Roman"/>
              <w:bCs/>
              <w:sz w:val="24"/>
              <w:szCs w:val="24"/>
            </w:rPr>
            <w:t>Recommendations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_Toc142753436 \h </w:instrText>
          </w:r>
          <w:r>
            <w:rPr>
              <w:rFonts w:ascii="Times New Roman" w:hAnsi="Times New Roman" w:cs="Times New Roman"/>
              <w:sz w:val="24"/>
              <w:szCs w:val="24"/>
            </w:rPr>
            <w:fldChar w:fldCharType="separate"/>
          </w:r>
          <w:r>
            <w:rPr>
              <w:rFonts w:ascii="Times New Roman" w:hAnsi="Times New Roman" w:cs="Times New Roman"/>
              <w:sz w:val="24"/>
              <w:szCs w:val="24"/>
            </w:rPr>
            <w:t>73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"_Toc142753437" </w:instrText>
          </w:r>
          <w:r>
            <w:fldChar w:fldCharType="separate"/>
          </w:r>
          <w:r>
            <w:rPr>
              <w:rStyle w:val="16"/>
              <w:rFonts w:ascii="Times New Roman" w:hAnsi="Times New Roman" w:cs="Times New Roman"/>
              <w:sz w:val="24"/>
              <w:szCs w:val="24"/>
            </w:rPr>
            <w:t>REFERENCES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_Toc142753437 \h </w:instrText>
          </w:r>
          <w:r>
            <w:rPr>
              <w:rFonts w:ascii="Times New Roman" w:hAnsi="Times New Roman" w:cs="Times New Roman"/>
              <w:sz w:val="24"/>
              <w:szCs w:val="24"/>
            </w:rPr>
            <w:fldChar w:fldCharType="separate"/>
          </w:r>
          <w:r>
            <w:rPr>
              <w:rFonts w:ascii="Times New Roman" w:hAnsi="Times New Roman" w:cs="Times New Roman"/>
              <w:sz w:val="24"/>
              <w:szCs w:val="24"/>
            </w:rPr>
            <w:t>75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"_Toc142753438" </w:instrText>
          </w:r>
          <w:r>
            <w:fldChar w:fldCharType="separate"/>
          </w:r>
          <w:r>
            <w:rPr>
              <w:rStyle w:val="16"/>
              <w:rFonts w:ascii="Times New Roman" w:hAnsi="Times New Roman" w:cs="Times New Roman"/>
              <w:sz w:val="24"/>
              <w:szCs w:val="24"/>
              <w:lang w:val="fr-FR"/>
            </w:rPr>
            <w:t>APPENDICES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_Toc142753438 \h </w:instrText>
          </w:r>
          <w:r>
            <w:rPr>
              <w:rFonts w:ascii="Times New Roman" w:hAnsi="Times New Roman" w:cs="Times New Roman"/>
              <w:sz w:val="24"/>
              <w:szCs w:val="24"/>
            </w:rPr>
            <w:fldChar w:fldCharType="separate"/>
          </w:r>
          <w:r>
            <w:rPr>
              <w:rFonts w:ascii="Times New Roman" w:hAnsi="Times New Roman" w:cs="Times New Roman"/>
              <w:sz w:val="24"/>
              <w:szCs w:val="24"/>
            </w:rPr>
            <w:t>84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"_Toc142753439" </w:instrText>
          </w:r>
          <w:r>
            <w:fldChar w:fldCharType="separate"/>
          </w:r>
          <w:r>
            <w:rPr>
              <w:rStyle w:val="16"/>
              <w:rFonts w:ascii="Times New Roman" w:hAnsi="Times New Roman" w:cs="Times New Roman"/>
              <w:sz w:val="24"/>
              <w:szCs w:val="24"/>
              <w:lang w:val="fr-FR"/>
            </w:rPr>
            <w:t>Appendix A: Questionnaire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_Toc142753439 \h </w:instrText>
          </w:r>
          <w:r>
            <w:rPr>
              <w:rFonts w:ascii="Times New Roman" w:hAnsi="Times New Roman" w:cs="Times New Roman"/>
              <w:sz w:val="24"/>
              <w:szCs w:val="24"/>
            </w:rPr>
            <w:fldChar w:fldCharType="separate"/>
          </w:r>
          <w:r>
            <w:rPr>
              <w:rFonts w:ascii="Times New Roman" w:hAnsi="Times New Roman" w:cs="Times New Roman"/>
              <w:sz w:val="24"/>
              <w:szCs w:val="24"/>
            </w:rPr>
            <w:t>84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2"/>
            <w:tabs>
              <w:tab w:val="right" w:leader="dot" w:pos="9350"/>
            </w:tabs>
            <w:rPr>
              <w:rFonts w:ascii="Times New Roman" w:hAnsi="Times New Roman" w:cs="Times New Roman" w:eastAsiaTheme="minorEastAsia"/>
              <w:sz w:val="24"/>
              <w:szCs w:val="24"/>
            </w:rPr>
          </w:pPr>
          <w:r>
            <w:fldChar w:fldCharType="begin"/>
          </w:r>
          <w:r>
            <w:instrText xml:space="preserve"> HYPERLINK \l "_Toc142753443" </w:instrText>
          </w:r>
          <w:r>
            <w:fldChar w:fldCharType="separate"/>
          </w:r>
          <w:r>
            <w:rPr>
              <w:rStyle w:val="16"/>
              <w:rFonts w:ascii="Times New Roman" w:hAnsi="Times New Roman" w:cs="Times New Roman"/>
              <w:sz w:val="24"/>
              <w:szCs w:val="24"/>
              <w:lang w:eastAsia="ja-JP"/>
            </w:rPr>
            <w:t>Glossary of Terms and Acronyms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_Toc142753443 \h </w:instrText>
          </w:r>
          <w:r>
            <w:rPr>
              <w:rFonts w:ascii="Times New Roman" w:hAnsi="Times New Roman" w:cs="Times New Roman"/>
              <w:sz w:val="24"/>
              <w:szCs w:val="24"/>
            </w:rPr>
            <w:fldChar w:fldCharType="separate"/>
          </w:r>
          <w:r>
            <w:rPr>
              <w:rFonts w:ascii="Times New Roman" w:hAnsi="Times New Roman" w:cs="Times New Roman"/>
              <w:sz w:val="24"/>
              <w:szCs w:val="24"/>
            </w:rPr>
            <w:t>91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rPr>
              <w:rFonts w:ascii="Times New Roman" w:hAnsi="Times New Roman" w:cs="Times New Roman"/>
              <w:b/>
              <w:bCs/>
              <w:sz w:val="24"/>
              <w:szCs w:val="24"/>
            </w:rPr>
          </w:pPr>
          <w:r>
            <w:rPr>
              <w:rFonts w:ascii="Times New Roman" w:hAnsi="Times New Roman" w:cs="Times New Roman"/>
              <w:b/>
              <w:bCs/>
              <w:sz w:val="24"/>
              <w:szCs w:val="24"/>
            </w:rPr>
            <w:fldChar w:fldCharType="end"/>
          </w:r>
        </w:p>
        <w:p>
          <w:pPr>
            <w:rPr>
              <w:rFonts w:ascii="Times New Roman" w:hAnsi="Times New Roman" w:cs="Times New Roman"/>
              <w:sz w:val="24"/>
              <w:szCs w:val="24"/>
            </w:rPr>
          </w:pPr>
        </w:p>
      </w:sdtContent>
    </w:sdt>
    <w:p>
      <w:pPr>
        <w:rPr>
          <w:rFonts w:ascii="Times New Roman" w:hAnsi="Times New Roman" w:cs="Times New Roman"/>
          <w:sz w:val="24"/>
          <w:szCs w:val="24"/>
        </w:rPr>
      </w:pPr>
    </w:p>
    <w:p>
      <w:pPr>
        <w:pStyle w:val="3"/>
        <w:jc w:val="center"/>
        <w:rPr>
          <w:rFonts w:ascii="Times New Roman" w:hAnsi="Times New Roman" w:cs="Times New Roman"/>
          <w:b w:val="0"/>
          <w:sz w:val="24"/>
          <w:szCs w:val="24"/>
        </w:rPr>
      </w:pPr>
      <w:bookmarkStart w:id="4" w:name="_Toc134604124"/>
      <w:bookmarkStart w:id="5" w:name="_Toc142753370"/>
      <w:r>
        <w:rPr>
          <w:rFonts w:ascii="Times New Roman" w:hAnsi="Times New Roman" w:cs="Times New Roman"/>
          <w:sz w:val="24"/>
          <w:szCs w:val="24"/>
        </w:rPr>
        <w:t>List of Tables</w:t>
      </w:r>
      <w:bookmarkEnd w:id="4"/>
      <w:bookmarkEnd w:id="5"/>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"Table" </w:instrText>
      </w:r>
      <w:r>
        <w:rPr>
          <w:rFonts w:ascii="Times New Roman" w:hAnsi="Times New Roman" w:cs="Times New Roman"/>
          <w:sz w:val="24"/>
          <w:szCs w:val="24"/>
        </w:rPr>
        <w:fldChar w:fldCharType="separate"/>
      </w:r>
      <w:r>
        <w:fldChar w:fldCharType="begin"/>
      </w:r>
      <w:r>
        <w:instrText xml:space="preserve"> HYPERLINK \l "_Toc134608189" </w:instrText>
      </w:r>
      <w:r>
        <w:fldChar w:fldCharType="separate"/>
      </w:r>
      <w:r>
        <w:rPr>
          <w:rStyle w:val="16"/>
          <w:rFonts w:ascii="Times New Roman" w:hAnsi="Times New Roman" w:cs="Times New Roman"/>
          <w:sz w:val="24"/>
          <w:szCs w:val="24"/>
        </w:rPr>
        <w:t>Table 1:Background characteristics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_Toc134608189 \h </w:instrText>
      </w:r>
      <w:r>
        <w:rPr>
          <w:rFonts w:ascii="Times New Roman" w:hAnsi="Times New Roman" w:cs="Times New Roman"/>
          <w:sz w:val="24"/>
          <w:szCs w:val="24"/>
        </w:rPr>
        <w:fldChar w:fldCharType="separate"/>
      </w:r>
      <w:r>
        <w:rPr>
          <w:rFonts w:ascii="Times New Roman" w:hAnsi="Times New Roman" w:cs="Times New Roman"/>
          <w:sz w:val="24"/>
          <w:szCs w:val="24"/>
        </w:rPr>
        <w:t>44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"_Toc134608190" </w:instrText>
      </w:r>
      <w:r>
        <w:fldChar w:fldCharType="separate"/>
      </w:r>
      <w:r>
        <w:rPr>
          <w:rStyle w:val="16"/>
          <w:rFonts w:ascii="Times New Roman" w:hAnsi="Times New Roman" w:cs="Times New Roman"/>
          <w:sz w:val="24"/>
          <w:szCs w:val="24"/>
        </w:rPr>
        <w:t>Table 2 Scoring post-operative pain in the surgical ward.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_Toc134608190 \h </w:instrText>
      </w:r>
      <w:r>
        <w:rPr>
          <w:rFonts w:ascii="Times New Roman" w:hAnsi="Times New Roman" w:cs="Times New Roman"/>
          <w:sz w:val="24"/>
          <w:szCs w:val="24"/>
        </w:rPr>
        <w:fldChar w:fldCharType="separate"/>
      </w:r>
      <w:r>
        <w:rPr>
          <w:rFonts w:ascii="Times New Roman" w:hAnsi="Times New Roman" w:cs="Times New Roman"/>
          <w:sz w:val="24"/>
          <w:szCs w:val="24"/>
        </w:rPr>
        <w:t>45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"_Toc134608191" </w:instrText>
      </w:r>
      <w:r>
        <w:fldChar w:fldCharType="separate"/>
      </w:r>
      <w:r>
        <w:rPr>
          <w:rStyle w:val="16"/>
          <w:rFonts w:ascii="Times New Roman" w:hAnsi="Times New Roman" w:cs="Times New Roman"/>
          <w:sz w:val="24"/>
          <w:szCs w:val="24"/>
        </w:rPr>
        <w:t>Table 3 Scoring post operative pain on the surgical ward.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_Toc134608191 \h </w:instrText>
      </w:r>
      <w:r>
        <w:rPr>
          <w:rFonts w:ascii="Times New Roman" w:hAnsi="Times New Roman" w:cs="Times New Roman"/>
          <w:sz w:val="24"/>
          <w:szCs w:val="24"/>
        </w:rPr>
        <w:fldChar w:fldCharType="separate"/>
      </w:r>
      <w:r>
        <w:rPr>
          <w:rFonts w:ascii="Times New Roman" w:hAnsi="Times New Roman" w:cs="Times New Roman"/>
          <w:sz w:val="24"/>
          <w:szCs w:val="24"/>
        </w:rPr>
        <w:t>46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"_Toc134608192" </w:instrText>
      </w:r>
      <w:r>
        <w:fldChar w:fldCharType="separate"/>
      </w:r>
      <w:r>
        <w:rPr>
          <w:rStyle w:val="16"/>
          <w:rFonts w:ascii="Times New Roman" w:hAnsi="Times New Roman" w:cs="Times New Roman"/>
          <w:sz w:val="24"/>
          <w:szCs w:val="24"/>
        </w:rPr>
        <w:t>Table 4 Methods of post operative pain management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_Toc134608192 \h </w:instrText>
      </w:r>
      <w:r>
        <w:rPr>
          <w:rFonts w:ascii="Times New Roman" w:hAnsi="Times New Roman" w:cs="Times New Roman"/>
          <w:sz w:val="24"/>
          <w:szCs w:val="24"/>
        </w:rPr>
        <w:fldChar w:fldCharType="separate"/>
      </w:r>
      <w:r>
        <w:rPr>
          <w:rFonts w:ascii="Times New Roman" w:hAnsi="Times New Roman" w:cs="Times New Roman"/>
          <w:sz w:val="24"/>
          <w:szCs w:val="24"/>
        </w:rPr>
        <w:t>47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"_Toc134608193" </w:instrText>
      </w:r>
      <w:r>
        <w:fldChar w:fldCharType="separate"/>
      </w:r>
      <w:r>
        <w:rPr>
          <w:rStyle w:val="16"/>
          <w:rFonts w:ascii="Times New Roman" w:hAnsi="Times New Roman" w:cs="Times New Roman"/>
          <w:sz w:val="24"/>
          <w:szCs w:val="24"/>
        </w:rPr>
        <w:t>Table 5 Assessment of post operative pain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_Toc134608193 \h </w:instrText>
      </w:r>
      <w:r>
        <w:rPr>
          <w:rFonts w:ascii="Times New Roman" w:hAnsi="Times New Roman" w:cs="Times New Roman"/>
          <w:sz w:val="24"/>
          <w:szCs w:val="24"/>
        </w:rPr>
        <w:fldChar w:fldCharType="separate"/>
      </w:r>
      <w:r>
        <w:rPr>
          <w:rFonts w:ascii="Times New Roman" w:hAnsi="Times New Roman" w:cs="Times New Roman"/>
          <w:sz w:val="24"/>
          <w:szCs w:val="24"/>
        </w:rPr>
        <w:t>48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"_Toc134608194" </w:instrText>
      </w:r>
      <w:r>
        <w:fldChar w:fldCharType="separate"/>
      </w:r>
      <w:r>
        <w:rPr>
          <w:rStyle w:val="16"/>
          <w:rFonts w:ascii="Times New Roman" w:hAnsi="Times New Roman" w:cs="Times New Roman"/>
          <w:sz w:val="24"/>
          <w:szCs w:val="24"/>
        </w:rPr>
        <w:t>Table 6 Rating and scoring post-operative pain.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_Toc134608194 \h </w:instrText>
      </w:r>
      <w:r>
        <w:rPr>
          <w:rFonts w:ascii="Times New Roman" w:hAnsi="Times New Roman" w:cs="Times New Roman"/>
          <w:sz w:val="24"/>
          <w:szCs w:val="24"/>
        </w:rPr>
        <w:fldChar w:fldCharType="separate"/>
      </w:r>
      <w:r>
        <w:rPr>
          <w:rFonts w:ascii="Times New Roman" w:hAnsi="Times New Roman" w:cs="Times New Roman"/>
          <w:sz w:val="24"/>
          <w:szCs w:val="24"/>
        </w:rPr>
        <w:t>50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"_Toc134608195" </w:instrText>
      </w:r>
      <w:r>
        <w:fldChar w:fldCharType="separate"/>
      </w:r>
      <w:r>
        <w:rPr>
          <w:rStyle w:val="16"/>
          <w:rFonts w:ascii="Times New Roman" w:hAnsi="Times New Roman" w:cs="Times New Roman"/>
          <w:sz w:val="24"/>
          <w:szCs w:val="24"/>
        </w:rPr>
        <w:t>Table 7 Rating and scoring post-operative pain.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_Toc134608195 \h </w:instrText>
      </w:r>
      <w:r>
        <w:rPr>
          <w:rFonts w:ascii="Times New Roman" w:hAnsi="Times New Roman" w:cs="Times New Roman"/>
          <w:sz w:val="24"/>
          <w:szCs w:val="24"/>
        </w:rPr>
        <w:fldChar w:fldCharType="separate"/>
      </w:r>
      <w:r>
        <w:rPr>
          <w:rFonts w:ascii="Times New Roman" w:hAnsi="Times New Roman" w:cs="Times New Roman"/>
          <w:sz w:val="24"/>
          <w:szCs w:val="24"/>
        </w:rPr>
        <w:t>51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"_Toc134608196" </w:instrText>
      </w:r>
      <w:r>
        <w:fldChar w:fldCharType="separate"/>
      </w:r>
      <w:r>
        <w:rPr>
          <w:rStyle w:val="16"/>
          <w:rFonts w:ascii="Times New Roman" w:hAnsi="Times New Roman" w:cs="Times New Roman"/>
          <w:sz w:val="24"/>
          <w:szCs w:val="24"/>
        </w:rPr>
        <w:t>Table 8  Methods of postoperative pain management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_Toc134608196 \h </w:instrText>
      </w:r>
      <w:r>
        <w:rPr>
          <w:rFonts w:ascii="Times New Roman" w:hAnsi="Times New Roman" w:cs="Times New Roman"/>
          <w:sz w:val="24"/>
          <w:szCs w:val="24"/>
        </w:rPr>
        <w:fldChar w:fldCharType="separate"/>
      </w:r>
      <w:r>
        <w:rPr>
          <w:rFonts w:ascii="Times New Roman" w:hAnsi="Times New Roman" w:cs="Times New Roman"/>
          <w:sz w:val="24"/>
          <w:szCs w:val="24"/>
        </w:rPr>
        <w:t>52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"_Toc134608197" </w:instrText>
      </w:r>
      <w:r>
        <w:fldChar w:fldCharType="separate"/>
      </w:r>
      <w:r>
        <w:rPr>
          <w:rStyle w:val="16"/>
          <w:rFonts w:ascii="Times New Roman" w:hAnsi="Times New Roman" w:cs="Times New Roman"/>
          <w:sz w:val="24"/>
          <w:szCs w:val="24"/>
        </w:rPr>
        <w:t>Table 9 Postoperative pain assessment.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_Toc134608197 \h </w:instrText>
      </w:r>
      <w:r>
        <w:rPr>
          <w:rFonts w:ascii="Times New Roman" w:hAnsi="Times New Roman" w:cs="Times New Roman"/>
          <w:sz w:val="24"/>
          <w:szCs w:val="24"/>
        </w:rPr>
        <w:fldChar w:fldCharType="separate"/>
      </w:r>
      <w:r>
        <w:rPr>
          <w:rFonts w:ascii="Times New Roman" w:hAnsi="Times New Roman" w:cs="Times New Roman"/>
          <w:sz w:val="24"/>
          <w:szCs w:val="24"/>
        </w:rPr>
        <w:t>54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"_Toc134608198" </w:instrText>
      </w:r>
      <w:r>
        <w:fldChar w:fldCharType="separate"/>
      </w:r>
      <w:r>
        <w:rPr>
          <w:rStyle w:val="16"/>
          <w:rFonts w:ascii="Times New Roman" w:hAnsi="Times New Roman" w:cs="Times New Roman"/>
          <w:sz w:val="24"/>
          <w:szCs w:val="24"/>
        </w:rPr>
        <w:t>Table 10 Comparison of pre and post knowledge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_Toc134608198 \h </w:instrText>
      </w:r>
      <w:r>
        <w:rPr>
          <w:rFonts w:ascii="Times New Roman" w:hAnsi="Times New Roman" w:cs="Times New Roman"/>
          <w:sz w:val="24"/>
          <w:szCs w:val="24"/>
        </w:rPr>
        <w:fldChar w:fldCharType="separate"/>
      </w:r>
      <w:r>
        <w:rPr>
          <w:rFonts w:ascii="Times New Roman" w:hAnsi="Times New Roman" w:cs="Times New Roman"/>
          <w:sz w:val="24"/>
          <w:szCs w:val="24"/>
        </w:rPr>
        <w:t>55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"_Toc134608199" </w:instrText>
      </w:r>
      <w:r>
        <w:fldChar w:fldCharType="separate"/>
      </w:r>
      <w:r>
        <w:rPr>
          <w:rStyle w:val="16"/>
          <w:rFonts w:ascii="Times New Roman" w:hAnsi="Times New Roman" w:cs="Times New Roman"/>
          <w:sz w:val="24"/>
          <w:szCs w:val="24"/>
        </w:rPr>
        <w:t>Table 11 Paired sample test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_Toc134608199 \h </w:instrText>
      </w:r>
      <w:r>
        <w:rPr>
          <w:rFonts w:ascii="Times New Roman" w:hAnsi="Times New Roman" w:cs="Times New Roman"/>
          <w:sz w:val="24"/>
          <w:szCs w:val="24"/>
        </w:rPr>
        <w:fldChar w:fldCharType="separate"/>
      </w:r>
      <w:r>
        <w:rPr>
          <w:rFonts w:ascii="Times New Roman" w:hAnsi="Times New Roman" w:cs="Times New Roman"/>
          <w:sz w:val="24"/>
          <w:szCs w:val="24"/>
        </w:rPr>
        <w:t>56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"_Toc134608200" </w:instrText>
      </w:r>
      <w:r>
        <w:fldChar w:fldCharType="separate"/>
      </w:r>
      <w:r>
        <w:rPr>
          <w:rStyle w:val="16"/>
          <w:rFonts w:ascii="Times New Roman" w:hAnsi="Times New Roman" w:cs="Times New Roman"/>
          <w:sz w:val="24"/>
          <w:szCs w:val="24"/>
        </w:rPr>
        <w:t>Table 12 Pretest attitude toward post-operative pain management.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_Toc134608200 \h </w:instrText>
      </w:r>
      <w:r>
        <w:rPr>
          <w:rFonts w:ascii="Times New Roman" w:hAnsi="Times New Roman" w:cs="Times New Roman"/>
          <w:sz w:val="24"/>
          <w:szCs w:val="24"/>
        </w:rPr>
        <w:fldChar w:fldCharType="separate"/>
      </w:r>
      <w:r>
        <w:rPr>
          <w:rFonts w:ascii="Times New Roman" w:hAnsi="Times New Roman" w:cs="Times New Roman"/>
          <w:sz w:val="24"/>
          <w:szCs w:val="24"/>
        </w:rPr>
        <w:t>57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"_Toc134608201" </w:instrText>
      </w:r>
      <w:r>
        <w:fldChar w:fldCharType="separate"/>
      </w:r>
      <w:r>
        <w:rPr>
          <w:rStyle w:val="16"/>
          <w:rFonts w:ascii="Times New Roman" w:hAnsi="Times New Roman" w:cs="Times New Roman"/>
          <w:sz w:val="24"/>
          <w:szCs w:val="24"/>
        </w:rPr>
        <w:t>Table 13 Attitude pretest towards postoperative pain assessment.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_Toc134608201 \h </w:instrText>
      </w:r>
      <w:r>
        <w:rPr>
          <w:rFonts w:ascii="Times New Roman" w:hAnsi="Times New Roman" w:cs="Times New Roman"/>
          <w:sz w:val="24"/>
          <w:szCs w:val="24"/>
        </w:rPr>
        <w:fldChar w:fldCharType="separate"/>
      </w:r>
      <w:r>
        <w:rPr>
          <w:rFonts w:ascii="Times New Roman" w:hAnsi="Times New Roman" w:cs="Times New Roman"/>
          <w:sz w:val="24"/>
          <w:szCs w:val="24"/>
        </w:rPr>
        <w:t>59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"_Toc134608202" </w:instrText>
      </w:r>
      <w:r>
        <w:fldChar w:fldCharType="separate"/>
      </w:r>
      <w:r>
        <w:rPr>
          <w:rStyle w:val="16"/>
          <w:rFonts w:ascii="Times New Roman" w:hAnsi="Times New Roman" w:cs="Times New Roman"/>
          <w:sz w:val="24"/>
          <w:szCs w:val="24"/>
        </w:rPr>
        <w:t>Table 14 Posttest attitude towards post-operative pain management.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_Toc134608202 \h </w:instrText>
      </w:r>
      <w:r>
        <w:rPr>
          <w:rFonts w:ascii="Times New Roman" w:hAnsi="Times New Roman" w:cs="Times New Roman"/>
          <w:sz w:val="24"/>
          <w:szCs w:val="24"/>
        </w:rPr>
        <w:fldChar w:fldCharType="separate"/>
      </w:r>
      <w:r>
        <w:rPr>
          <w:rFonts w:ascii="Times New Roman" w:hAnsi="Times New Roman" w:cs="Times New Roman"/>
          <w:sz w:val="24"/>
          <w:szCs w:val="24"/>
        </w:rPr>
        <w:t>61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"_Toc134608203" </w:instrText>
      </w:r>
      <w:r>
        <w:fldChar w:fldCharType="separate"/>
      </w:r>
      <w:r>
        <w:rPr>
          <w:rStyle w:val="16"/>
          <w:rFonts w:ascii="Times New Roman" w:hAnsi="Times New Roman" w:cs="Times New Roman"/>
          <w:sz w:val="24"/>
          <w:szCs w:val="24"/>
        </w:rPr>
        <w:t>Table 15 Posttest attitude towards post-operative pain management.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_Toc134608203 \h </w:instrText>
      </w:r>
      <w:r>
        <w:rPr>
          <w:rFonts w:ascii="Times New Roman" w:hAnsi="Times New Roman" w:cs="Times New Roman"/>
          <w:sz w:val="24"/>
          <w:szCs w:val="24"/>
        </w:rPr>
        <w:fldChar w:fldCharType="separate"/>
      </w:r>
      <w:r>
        <w:rPr>
          <w:rFonts w:ascii="Times New Roman" w:hAnsi="Times New Roman" w:cs="Times New Roman"/>
          <w:sz w:val="24"/>
          <w:szCs w:val="24"/>
        </w:rPr>
        <w:t>63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"_Toc134608204" </w:instrText>
      </w:r>
      <w:r>
        <w:fldChar w:fldCharType="separate"/>
      </w:r>
      <w:r>
        <w:rPr>
          <w:rStyle w:val="16"/>
          <w:rFonts w:ascii="Times New Roman" w:hAnsi="Times New Roman" w:cs="Times New Roman"/>
          <w:sz w:val="24"/>
          <w:szCs w:val="24"/>
        </w:rPr>
        <w:t>Table 16 Comparison of pretest and posttest totals.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_Toc134608204 \h </w:instrText>
      </w:r>
      <w:r>
        <w:rPr>
          <w:rFonts w:ascii="Times New Roman" w:hAnsi="Times New Roman" w:cs="Times New Roman"/>
          <w:sz w:val="24"/>
          <w:szCs w:val="24"/>
        </w:rPr>
        <w:fldChar w:fldCharType="separate"/>
      </w:r>
      <w:r>
        <w:rPr>
          <w:rFonts w:ascii="Times New Roman" w:hAnsi="Times New Roman" w:cs="Times New Roman"/>
          <w:sz w:val="24"/>
          <w:szCs w:val="24"/>
        </w:rPr>
        <w:t>64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"_Toc134608205" </w:instrText>
      </w:r>
      <w:r>
        <w:fldChar w:fldCharType="separate"/>
      </w:r>
      <w:r>
        <w:rPr>
          <w:rStyle w:val="16"/>
          <w:rFonts w:ascii="Times New Roman" w:hAnsi="Times New Roman" w:cs="Times New Roman"/>
          <w:sz w:val="24"/>
          <w:szCs w:val="24"/>
        </w:rPr>
        <w:t>Table 17 Paired sample statistics for attitude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_Toc134608205 \h </w:instrText>
      </w:r>
      <w:r>
        <w:rPr>
          <w:rFonts w:ascii="Times New Roman" w:hAnsi="Times New Roman" w:cs="Times New Roman"/>
          <w:sz w:val="24"/>
          <w:szCs w:val="24"/>
        </w:rPr>
        <w:fldChar w:fldCharType="separate"/>
      </w:r>
      <w:r>
        <w:rPr>
          <w:rFonts w:ascii="Times New Roman" w:hAnsi="Times New Roman" w:cs="Times New Roman"/>
          <w:sz w:val="24"/>
          <w:szCs w:val="24"/>
        </w:rPr>
        <w:t>65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42"/>
        <w:spacing w:line="480" w:lineRule="auto"/>
        <w:ind w:left="720" w:right="720"/>
        <w:jc w:val="center"/>
        <w:rPr>
          <w:rFonts w:ascii="Times New Roman" w:hAnsi="Times New Roman" w:cs="Times New Roman"/>
          <w:b/>
          <w:bCs/>
          <w:sz w:val="24"/>
          <w:szCs w:val="24"/>
        </w:rPr>
      </w:pPr>
      <w:r>
        <w:rPr>
          <w:rFonts w:ascii="Times New Roman" w:hAnsi="Times New Roman" w:cs="Times New Roman"/>
          <w:sz w:val="24"/>
          <w:szCs w:val="24"/>
        </w:rPr>
        <w:fldChar w:fldCharType="end"/>
      </w: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3"/>
        <w:jc w:val="center"/>
        <w:rPr>
          <w:rFonts w:ascii="Times New Roman" w:hAnsi="Times New Roman" w:cs="Times New Roman"/>
          <w:b w:val="0"/>
          <w:sz w:val="24"/>
          <w:szCs w:val="24"/>
        </w:rPr>
      </w:pPr>
      <w:bookmarkStart w:id="6" w:name="_Toc134604125"/>
      <w:bookmarkStart w:id="7" w:name="_Toc142753371"/>
      <w:r>
        <w:rPr>
          <w:rFonts w:ascii="Times New Roman" w:hAnsi="Times New Roman" w:cs="Times New Roman"/>
          <w:sz w:val="24"/>
          <w:szCs w:val="24"/>
        </w:rPr>
        <w:t>List of Figures</w:t>
      </w:r>
      <w:bookmarkEnd w:id="6"/>
      <w:bookmarkEnd w:id="7"/>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r>
        <w:fldChar w:fldCharType="begin"/>
      </w:r>
      <w:r>
        <w:instrText xml:space="preserve"> HYPERLINK \l "_Toc134608454" </w:instrText>
      </w:r>
      <w:r>
        <w:fldChar w:fldCharType="separate"/>
      </w:r>
      <w:r>
        <w:rPr>
          <w:rStyle w:val="16"/>
          <w:rFonts w:ascii="Times New Roman" w:hAnsi="Times New Roman" w:cs="Times New Roman"/>
          <w:sz w:val="24"/>
          <w:szCs w:val="24"/>
        </w:rPr>
        <w:t>Figure 1</w:t>
      </w:r>
      <w:r>
        <w:rPr>
          <w:rStyle w:val="16"/>
          <w:rFonts w:ascii="Times New Roman" w:hAnsi="Times New Roman" w:cs="Times New Roman"/>
          <w:b/>
          <w:sz w:val="24"/>
          <w:szCs w:val="24"/>
        </w:rPr>
        <w:t xml:space="preserve">: </w:t>
      </w:r>
      <w:r>
        <w:rPr>
          <w:rStyle w:val="16"/>
          <w:rFonts w:ascii="Times New Roman" w:hAnsi="Times New Roman" w:cs="Times New Roman"/>
          <w:bCs/>
          <w:sz w:val="24"/>
          <w:szCs w:val="24"/>
        </w:rPr>
        <w:t>Age of respondents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_Toc134608454 \h </w:instrText>
      </w:r>
      <w:r>
        <w:rPr>
          <w:rFonts w:ascii="Times New Roman" w:hAnsi="Times New Roman" w:cs="Times New Roman"/>
          <w:sz w:val="24"/>
          <w:szCs w:val="24"/>
        </w:rPr>
        <w:fldChar w:fldCharType="separate"/>
      </w:r>
      <w:r>
        <w:rPr>
          <w:rFonts w:ascii="Times New Roman" w:hAnsi="Times New Roman" w:cs="Times New Roman"/>
          <w:sz w:val="24"/>
          <w:szCs w:val="24"/>
        </w:rPr>
        <w:t>42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"_Toc134608455" </w:instrText>
      </w:r>
      <w:r>
        <w:fldChar w:fldCharType="separate"/>
      </w:r>
      <w:r>
        <w:rPr>
          <w:rStyle w:val="16"/>
          <w:rFonts w:ascii="Times New Roman" w:hAnsi="Times New Roman" w:cs="Times New Roman"/>
          <w:sz w:val="24"/>
          <w:szCs w:val="24"/>
        </w:rPr>
        <w:t>Figure 2: Experience in years of working on the surgical ward.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_Toc134608455 \h </w:instrText>
      </w:r>
      <w:r>
        <w:rPr>
          <w:rFonts w:ascii="Times New Roman" w:hAnsi="Times New Roman" w:cs="Times New Roman"/>
          <w:sz w:val="24"/>
          <w:szCs w:val="24"/>
        </w:rPr>
        <w:fldChar w:fldCharType="separate"/>
      </w:r>
      <w:r>
        <w:rPr>
          <w:rFonts w:ascii="Times New Roman" w:hAnsi="Times New Roman" w:cs="Times New Roman"/>
          <w:sz w:val="24"/>
          <w:szCs w:val="24"/>
        </w:rPr>
        <w:t>43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9350"/>
        </w:tabs>
        <w:spacing w:line="360" w:lineRule="auto"/>
        <w:rPr>
          <w:rFonts w:ascii="Times New Roman" w:hAnsi="Times New Roman" w:cs="Times New Roman" w:eastAsiaTheme="minorEastAsia"/>
          <w:kern w:val="2"/>
          <w:sz w:val="24"/>
          <w:szCs w:val="24"/>
          <w14:ligatures w14:val="standardContextual"/>
        </w:rPr>
      </w:pPr>
      <w:r>
        <w:fldChar w:fldCharType="begin"/>
      </w:r>
      <w:r>
        <w:instrText xml:space="preserve"> HYPERLINK \l "_Toc134608456" </w:instrText>
      </w:r>
      <w:r>
        <w:fldChar w:fldCharType="separate"/>
      </w:r>
      <w:r>
        <w:rPr>
          <w:rStyle w:val="16"/>
          <w:rFonts w:ascii="Times New Roman" w:hAnsi="Times New Roman" w:cs="Times New Roman"/>
          <w:sz w:val="24"/>
          <w:szCs w:val="24"/>
        </w:rPr>
        <w:t>Figure 3  working experience in years.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_Toc134608456 \h </w:instrText>
      </w:r>
      <w:r>
        <w:rPr>
          <w:rFonts w:ascii="Times New Roman" w:hAnsi="Times New Roman" w:cs="Times New Roman"/>
          <w:sz w:val="24"/>
          <w:szCs w:val="24"/>
        </w:rPr>
        <w:fldChar w:fldCharType="separate"/>
      </w:r>
      <w:r>
        <w:rPr>
          <w:rFonts w:ascii="Times New Roman" w:hAnsi="Times New Roman" w:cs="Times New Roman"/>
          <w:sz w:val="24"/>
          <w:szCs w:val="24"/>
        </w:rPr>
        <w:t>43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rPr>
          <w:rFonts w:ascii="Times New Roman" w:hAnsi="Times New Roman" w:cs="Times New Roman"/>
          <w:sz w:val="24"/>
          <w:szCs w:val="24"/>
        </w:rPr>
      </w:pPr>
      <w:r>
        <w:rPr>
          <w:rFonts w:ascii="Times New Roman" w:hAnsi="Times New Roman" w:cs="Times New Roman"/>
          <w:sz w:val="24"/>
          <w:szCs w:val="24"/>
        </w:rPr>
        <w:fldChar w:fldCharType="end"/>
      </w:r>
    </w:p>
    <w:p>
      <w:pPr>
        <w:rPr>
          <w:rFonts w:ascii="Times New Roman" w:hAnsi="Times New Roman" w:cs="Times New Roman"/>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3"/>
        <w:spacing w:line="480" w:lineRule="auto"/>
        <w:jc w:val="center"/>
        <w:rPr>
          <w:rFonts w:ascii="Times New Roman" w:hAnsi="Times New Roman" w:cs="Times New Roman"/>
          <w:b w:val="0"/>
          <w:sz w:val="24"/>
          <w:szCs w:val="24"/>
        </w:rPr>
      </w:pPr>
      <w:bookmarkStart w:id="8" w:name="_Toc142753372"/>
      <w:r>
        <w:rPr>
          <w:rFonts w:ascii="Times New Roman" w:hAnsi="Times New Roman" w:cs="Times New Roman"/>
          <w:sz w:val="24"/>
          <w:szCs w:val="24"/>
        </w:rPr>
        <w:t>LIST OF APPENDICES</w:t>
      </w:r>
      <w:bookmarkEnd w:id="8"/>
    </w:p>
    <w:p>
      <w:pPr>
        <w:pStyle w:val="42"/>
        <w:spacing w:line="480" w:lineRule="auto"/>
        <w:ind w:right="720"/>
        <w:rPr>
          <w:rFonts w:ascii="Times New Roman" w:hAnsi="Times New Roman" w:cs="Times New Roman"/>
          <w:sz w:val="24"/>
          <w:szCs w:val="24"/>
        </w:rPr>
      </w:pPr>
      <w:r>
        <w:rPr>
          <w:rFonts w:ascii="Times New Roman" w:hAnsi="Times New Roman" w:cs="Times New Roman"/>
          <w:sz w:val="24"/>
          <w:szCs w:val="24"/>
        </w:rPr>
        <w:t>Appendix A-Questionnaire: …………………………………………………………….85</w:t>
      </w:r>
    </w:p>
    <w:p>
      <w:pPr>
        <w:pStyle w:val="42"/>
        <w:spacing w:line="480" w:lineRule="auto"/>
        <w:ind w:right="720"/>
        <w:rPr>
          <w:rFonts w:ascii="Times New Roman" w:hAnsi="Times New Roman" w:cs="Times New Roman"/>
          <w:sz w:val="24"/>
          <w:szCs w:val="24"/>
        </w:rPr>
      </w:pPr>
      <w:r>
        <w:rPr>
          <w:rFonts w:ascii="Times New Roman" w:hAnsi="Times New Roman" w:cs="Times New Roman"/>
          <w:sz w:val="24"/>
          <w:szCs w:val="24"/>
        </w:rPr>
        <w:t>Part 1 -Demographic Data: …………………………………………………………… 85</w:t>
      </w:r>
    </w:p>
    <w:p>
      <w:pPr>
        <w:pStyle w:val="42"/>
        <w:spacing w:line="480" w:lineRule="auto"/>
        <w:ind w:right="720"/>
        <w:rPr>
          <w:rFonts w:ascii="Times New Roman" w:hAnsi="Times New Roman" w:cs="Times New Roman"/>
          <w:sz w:val="24"/>
          <w:szCs w:val="24"/>
        </w:rPr>
      </w:pPr>
      <w:r>
        <w:rPr>
          <w:rFonts w:ascii="Times New Roman" w:hAnsi="Times New Roman" w:cs="Times New Roman"/>
          <w:sz w:val="24"/>
          <w:szCs w:val="24"/>
        </w:rPr>
        <w:t>Part 11- Nurses Knowledge on Post-operative Pain Management: ........ ……………..86</w:t>
      </w:r>
    </w:p>
    <w:p>
      <w:pPr>
        <w:pStyle w:val="42"/>
        <w:spacing w:line="480" w:lineRule="auto"/>
        <w:ind w:right="90"/>
        <w:rPr>
          <w:rFonts w:ascii="Times New Roman" w:hAnsi="Times New Roman" w:cs="Times New Roman"/>
          <w:sz w:val="24"/>
          <w:szCs w:val="24"/>
        </w:rPr>
      </w:pPr>
      <w:r>
        <w:rPr>
          <w:rFonts w:ascii="Times New Roman" w:hAnsi="Times New Roman" w:cs="Times New Roman"/>
          <w:sz w:val="24"/>
          <w:szCs w:val="24"/>
        </w:rPr>
        <w:t>Part 111 – Nurses Attitude towards Post Operative Pain Management:……………..87</w:t>
      </w:r>
    </w:p>
    <w:p>
      <w:pPr>
        <w:pStyle w:val="42"/>
        <w:spacing w:line="480" w:lineRule="auto"/>
        <w:ind w:right="720"/>
        <w:rPr>
          <w:rFonts w:ascii="Times New Roman" w:hAnsi="Times New Roman" w:cs="Times New Roman"/>
          <w:sz w:val="24"/>
          <w:szCs w:val="24"/>
        </w:rPr>
      </w:pPr>
      <w:r>
        <w:rPr>
          <w:rFonts w:ascii="Times New Roman" w:hAnsi="Times New Roman" w:cs="Times New Roman"/>
          <w:sz w:val="24"/>
          <w:szCs w:val="24"/>
        </w:rPr>
        <w:t>Appendix B- Practice Checklist: ………………………………………………………89</w:t>
      </w:r>
    </w:p>
    <w:p>
      <w:pPr>
        <w:pStyle w:val="42"/>
        <w:spacing w:line="480" w:lineRule="auto"/>
        <w:ind w:right="720"/>
        <w:rPr>
          <w:rFonts w:ascii="Times New Roman" w:hAnsi="Times New Roman" w:cs="Times New Roman"/>
          <w:sz w:val="24"/>
          <w:szCs w:val="24"/>
        </w:rPr>
      </w:pPr>
      <w:r>
        <w:rPr>
          <w:rFonts w:ascii="Times New Roman" w:hAnsi="Times New Roman" w:cs="Times New Roman"/>
          <w:sz w:val="24"/>
          <w:szCs w:val="24"/>
        </w:rPr>
        <w:t>Appendix C-Attitude and Knowledge Totals …………………………………………90</w:t>
      </w:r>
    </w:p>
    <w:p>
      <w:pPr>
        <w:pStyle w:val="42"/>
        <w:spacing w:line="480" w:lineRule="auto"/>
        <w:ind w:right="720"/>
        <w:rPr>
          <w:rFonts w:ascii="Times New Roman" w:hAnsi="Times New Roman" w:cs="Times New Roman"/>
          <w:sz w:val="24"/>
          <w:szCs w:val="24"/>
        </w:rPr>
      </w:pPr>
      <w:r>
        <w:rPr>
          <w:rFonts w:ascii="Times New Roman" w:hAnsi="Times New Roman" w:cs="Times New Roman"/>
          <w:sz w:val="24"/>
          <w:szCs w:val="24"/>
        </w:rPr>
        <w:t xml:space="preserve">Appendix D- Approval letter </w:t>
      </w:r>
    </w:p>
    <w:p>
      <w:pPr>
        <w:pStyle w:val="42"/>
        <w:spacing w:line="480" w:lineRule="auto"/>
        <w:ind w:left="720" w:right="720"/>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3"/>
        <w:jc w:val="center"/>
        <w:rPr>
          <w:rFonts w:ascii="Times New Roman" w:hAnsi="Times New Roman" w:cs="Times New Roman"/>
          <w:b w:val="0"/>
          <w:sz w:val="24"/>
          <w:szCs w:val="24"/>
        </w:rPr>
      </w:pPr>
      <w:bookmarkStart w:id="9" w:name="_Toc142753373"/>
      <w:r>
        <w:rPr>
          <w:rFonts w:ascii="Times New Roman" w:hAnsi="Times New Roman" w:cs="Times New Roman"/>
          <w:sz w:val="24"/>
          <w:szCs w:val="24"/>
        </w:rPr>
        <w:t>Abstract</w:t>
      </w:r>
      <w:bookmarkEnd w:id="9"/>
    </w:p>
    <w:p>
      <w:pPr>
        <w:spacing w:after="0" w:line="240" w:lineRule="auto"/>
        <w:jc w:val="both"/>
        <w:rPr>
          <w:rFonts w:ascii="Times New Roman" w:hAnsi="Times New Roman" w:cs="Times New Roman"/>
          <w:b/>
          <w:iCs/>
          <w:sz w:val="24"/>
          <w:szCs w:val="24"/>
          <w:shd w:val="clear" w:color="auto" w:fill="FFFFFF"/>
        </w:rPr>
      </w:pPr>
      <w:r>
        <w:rPr>
          <w:rFonts w:ascii="Times New Roman" w:hAnsi="Times New Roman" w:cs="Times New Roman"/>
          <w:b/>
          <w:iCs/>
          <w:sz w:val="24"/>
          <w:szCs w:val="24"/>
          <w:shd w:val="clear" w:color="auto" w:fill="FFFFFF"/>
        </w:rPr>
        <w:t xml:space="preserve">Background  </w:t>
      </w:r>
    </w:p>
    <w:p>
      <w:pPr>
        <w:spacing w:after="0" w:line="240" w:lineRule="auto"/>
        <w:ind w:firstLine="720"/>
        <w:jc w:val="both"/>
        <w:rPr>
          <w:rFonts w:ascii="Times New Roman" w:hAnsi="Times New Roman" w:cs="Times New Roman"/>
          <w:bCs/>
          <w:sz w:val="24"/>
          <w:szCs w:val="24"/>
        </w:rPr>
      </w:pPr>
      <w:r>
        <w:rPr>
          <w:rFonts w:ascii="Times New Roman" w:hAnsi="Times New Roman" w:cs="Times New Roman"/>
          <w:bCs/>
          <w:iCs/>
          <w:sz w:val="24"/>
          <w:szCs w:val="24"/>
          <w:shd w:val="clear" w:color="auto" w:fill="FFFFFF"/>
        </w:rPr>
        <w:t>Post operative pain remains one of the greatest concerns for patients following surgery.</w:t>
      </w:r>
      <w:r>
        <w:rPr>
          <w:rFonts w:ascii="Times New Roman" w:hAnsi="Times New Roman" w:cs="Times New Roman"/>
          <w:bCs/>
          <w:i/>
          <w:sz w:val="24"/>
          <w:szCs w:val="24"/>
          <w:shd w:val="clear" w:color="auto" w:fill="FFFFFF"/>
        </w:rPr>
        <w:t xml:space="preserve"> </w:t>
      </w:r>
      <w:r>
        <w:rPr>
          <w:rFonts w:ascii="Times New Roman" w:hAnsi="Times New Roman" w:cs="Times New Roman"/>
          <w:bCs/>
          <w:sz w:val="24"/>
          <w:szCs w:val="24"/>
          <w:shd w:val="clear" w:color="auto" w:fill="FFFFFF"/>
        </w:rPr>
        <w:t xml:space="preserve">Pain is an unpleasant sensory and emotional experience accompanied by actual and potential tissue damage. </w:t>
      </w:r>
      <w:r>
        <w:rPr>
          <w:rFonts w:ascii="Times New Roman" w:hAnsi="Times New Roman" w:cs="Times New Roman"/>
          <w:bCs/>
          <w:sz w:val="24"/>
          <w:szCs w:val="24"/>
        </w:rPr>
        <w:t>Failure to promptly assess and manage pain may upshot into postoperative complications like hypertension, depression,</w:t>
      </w:r>
      <w:r>
        <w:rPr>
          <w:rFonts w:ascii="Times New Roman" w:hAnsi="Times New Roman" w:cs="Times New Roman"/>
          <w:bCs/>
          <w:i/>
          <w:iCs/>
          <w:sz w:val="24"/>
          <w:szCs w:val="24"/>
        </w:rPr>
        <w:t xml:space="preserve"> </w:t>
      </w:r>
      <w:r>
        <w:rPr>
          <w:rFonts w:ascii="Times New Roman" w:hAnsi="Times New Roman" w:cs="Times New Roman"/>
          <w:bCs/>
          <w:sz w:val="24"/>
          <w:szCs w:val="24"/>
        </w:rPr>
        <w:t>lengthened hospital stays, and overall patients’ poor health outcomes.</w:t>
      </w:r>
    </w:p>
    <w:p>
      <w:pPr>
        <w:spacing w:after="0" w:line="240" w:lineRule="auto"/>
        <w:jc w:val="both"/>
        <w:rPr>
          <w:rFonts w:ascii="Times New Roman" w:hAnsi="Times New Roman" w:cs="Times New Roman"/>
          <w:sz w:val="24"/>
          <w:szCs w:val="24"/>
        </w:rPr>
      </w:pPr>
    </w:p>
    <w:p>
      <w:pPr>
        <w:spacing w:after="0" w:line="240" w:lineRule="auto"/>
        <w:jc w:val="both"/>
        <w:rPr>
          <w:rFonts w:ascii="Times New Roman" w:hAnsi="Times New Roman" w:cs="Times New Roman"/>
          <w:sz w:val="24"/>
          <w:szCs w:val="24"/>
        </w:rPr>
      </w:pPr>
      <w:r>
        <w:rPr>
          <w:rFonts w:ascii="Times New Roman" w:hAnsi="Times New Roman" w:cs="Times New Roman"/>
          <w:b/>
          <w:iCs/>
          <w:sz w:val="24"/>
          <w:szCs w:val="24"/>
        </w:rPr>
        <w:t>Objective</w:t>
      </w:r>
      <w:r>
        <w:rPr>
          <w:rFonts w:ascii="Times New Roman" w:hAnsi="Times New Roman" w:cs="Times New Roman"/>
          <w:sz w:val="24"/>
          <w:szCs w:val="24"/>
        </w:rPr>
        <w:t xml:space="preserve"> </w:t>
      </w:r>
    </w:p>
    <w:p>
      <w:pPr>
        <w:spacing w:after="0" w:line="240" w:lineRule="auto"/>
        <w:ind w:firstLine="720"/>
        <w:jc w:val="both"/>
        <w:rPr>
          <w:rFonts w:ascii="Times New Roman" w:hAnsi="Times New Roman" w:cs="Times New Roman"/>
          <w:bCs/>
          <w:sz w:val="24"/>
          <w:szCs w:val="24"/>
          <w:shd w:val="clear" w:color="auto" w:fill="FFFFFF"/>
        </w:rPr>
      </w:pPr>
      <w:r>
        <w:rPr>
          <w:rFonts w:ascii="Times New Roman" w:hAnsi="Times New Roman" w:cs="Times New Roman"/>
          <w:sz w:val="24"/>
          <w:szCs w:val="24"/>
        </w:rPr>
        <w:t xml:space="preserve">The purpose of this study was to </w:t>
      </w:r>
      <w:r>
        <w:rPr>
          <w:rFonts w:ascii="Times New Roman" w:hAnsi="Times New Roman" w:cs="Times New Roman"/>
          <w:bCs/>
          <w:sz w:val="24"/>
          <w:szCs w:val="24"/>
          <w:shd w:val="clear" w:color="auto" w:fill="FFFFFF"/>
        </w:rPr>
        <w:t xml:space="preserve">describe the effect of integrating the pain assessment scale on the nurse’s knowledge, attitude, and practice toward post-operative pain management in the surgical ward </w:t>
      </w:r>
      <w:r>
        <w:rPr>
          <w:rFonts w:ascii="Times New Roman" w:hAnsi="Times New Roman" w:cs="Times New Roman"/>
          <w:bCs/>
          <w:sz w:val="24"/>
          <w:szCs w:val="24"/>
        </w:rPr>
        <w:t>in Mengo hospital, Kampala.</w:t>
      </w:r>
    </w:p>
    <w:p>
      <w:pPr>
        <w:spacing w:after="0" w:line="240" w:lineRule="auto"/>
        <w:jc w:val="both"/>
        <w:rPr>
          <w:rFonts w:ascii="Times New Roman" w:hAnsi="Times New Roman" w:cs="Times New Roman"/>
          <w:bCs/>
          <w:sz w:val="24"/>
          <w:szCs w:val="24"/>
          <w:shd w:val="clear" w:color="auto" w:fill="FFFFFF"/>
        </w:rPr>
      </w:pPr>
    </w:p>
    <w:p>
      <w:pPr>
        <w:autoSpaceDE w:val="0"/>
        <w:autoSpaceDN w:val="0"/>
        <w:adjustRightInd w:val="0"/>
        <w:spacing w:after="0" w:line="240" w:lineRule="auto"/>
        <w:jc w:val="both"/>
        <w:rPr>
          <w:rFonts w:ascii="Times New Roman" w:hAnsi="Times New Roman" w:cs="Times New Roman"/>
          <w:b/>
          <w:bCs/>
          <w:iCs/>
          <w:sz w:val="24"/>
          <w:szCs w:val="24"/>
          <w:shd w:val="clear" w:color="auto" w:fill="FFFFFF"/>
        </w:rPr>
      </w:pPr>
      <w:r>
        <w:rPr>
          <w:rFonts w:ascii="Times New Roman" w:hAnsi="Times New Roman" w:cs="Times New Roman"/>
          <w:b/>
          <w:bCs/>
          <w:iCs/>
          <w:sz w:val="24"/>
          <w:szCs w:val="24"/>
          <w:shd w:val="clear" w:color="auto" w:fill="FFFFFF"/>
        </w:rPr>
        <w:t>Methods</w:t>
      </w:r>
    </w:p>
    <w:p>
      <w:pPr>
        <w:autoSpaceDE w:val="0"/>
        <w:autoSpaceDN w:val="0"/>
        <w:adjustRightInd w:val="0"/>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 xml:space="preserve"> </w:t>
      </w:r>
    </w:p>
    <w:p>
      <w:pPr>
        <w:autoSpaceDE w:val="0"/>
        <w:autoSpaceDN w:val="0"/>
        <w:adjustRightInd w:val="0"/>
        <w:spacing w:after="0" w:line="24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At the surgical wards (obstetrics/gynecology &amp; other general surgical procedures), nurses participated in a descriptive quantitative cross-sectional, quasi-experimental study.</w:t>
      </w:r>
    </w:p>
    <w:p>
      <w:pPr>
        <w:autoSpaceDE w:val="0"/>
        <w:autoSpaceDN w:val="0"/>
        <w:adjustRightInd w:val="0"/>
        <w:spacing w:after="0" w:line="240" w:lineRule="auto"/>
        <w:jc w:val="both"/>
        <w:rPr>
          <w:rFonts w:ascii="Times New Roman" w:hAnsi="Times New Roman" w:eastAsia="Times New Roman" w:cs="Times New Roman"/>
          <w:sz w:val="24"/>
          <w:szCs w:val="24"/>
        </w:rPr>
      </w:pPr>
      <w:r>
        <w:rPr>
          <w:rFonts w:ascii="Times New Roman" w:hAnsi="Times New Roman" w:cs="Times New Roman"/>
          <w:iCs/>
          <w:sz w:val="24"/>
          <w:szCs w:val="24"/>
        </w:rPr>
        <w:t xml:space="preserve">A total of 60 nurses participated in the study by applying the educational intervention of integrating the PAS into postoperative pain management </w:t>
      </w:r>
      <w:r>
        <w:rPr>
          <w:rFonts w:ascii="Times New Roman" w:hAnsi="Times New Roman" w:cs="Times New Roman"/>
          <w:sz w:val="24"/>
          <w:szCs w:val="24"/>
        </w:rPr>
        <w:t xml:space="preserve">using a 4-point Likert scale. The practice was observed using a checklist. </w:t>
      </w:r>
      <w:r>
        <w:rPr>
          <w:rFonts w:ascii="Times New Roman" w:hAnsi="Times New Roman" w:eastAsia="Times New Roman" w:cs="Times New Roman"/>
          <w:sz w:val="24"/>
          <w:szCs w:val="24"/>
        </w:rPr>
        <w:t>Data were analyzed using SPSS version 20. A chi-square test was done, and significantly associated factors were acknowledged.</w:t>
      </w:r>
    </w:p>
    <w:p>
      <w:pPr>
        <w:autoSpaceDE w:val="0"/>
        <w:autoSpaceDN w:val="0"/>
        <w:adjustRightInd w:val="0"/>
        <w:spacing w:after="0" w:line="240" w:lineRule="auto"/>
        <w:jc w:val="both"/>
        <w:rPr>
          <w:rFonts w:ascii="Times New Roman" w:hAnsi="Times New Roman" w:eastAsia="Times New Roman" w:cs="Times New Roman"/>
          <w:sz w:val="24"/>
          <w:szCs w:val="24"/>
        </w:rPr>
      </w:pPr>
    </w:p>
    <w:p>
      <w:pPr>
        <w:spacing w:after="0" w:line="240" w:lineRule="auto"/>
        <w:jc w:val="both"/>
        <w:rPr>
          <w:rFonts w:ascii="Times New Roman" w:hAnsi="Times New Roman" w:cs="Times New Roman"/>
          <w:b/>
          <w:bCs/>
          <w:iCs/>
          <w:sz w:val="24"/>
          <w:szCs w:val="24"/>
          <w:shd w:val="clear" w:color="auto" w:fill="FFFFFF"/>
        </w:rPr>
      </w:pPr>
      <w:r>
        <w:rPr>
          <w:rFonts w:ascii="Times New Roman" w:hAnsi="Times New Roman" w:cs="Times New Roman"/>
          <w:b/>
          <w:bCs/>
          <w:iCs/>
          <w:sz w:val="24"/>
          <w:szCs w:val="24"/>
          <w:shd w:val="clear" w:color="auto" w:fill="FFFFFF"/>
        </w:rPr>
        <w:t>Results</w:t>
      </w:r>
    </w:p>
    <w:p>
      <w:pPr>
        <w:spacing w:after="0" w:line="240" w:lineRule="auto"/>
        <w:rPr>
          <w:rFonts w:ascii="Times New Roman" w:hAnsi="Times New Roman" w:eastAsia="Times New Roman" w:cs="Times New Roman"/>
          <w:sz w:val="24"/>
          <w:szCs w:val="24"/>
          <w:shd w:val="clear" w:color="auto" w:fill="FFFFFF"/>
        </w:rPr>
      </w:pPr>
      <w:r>
        <w:rPr>
          <w:rFonts w:ascii="Times New Roman" w:hAnsi="Times New Roman" w:eastAsia="Times New Roman" w:cs="Times New Roman"/>
          <w:sz w:val="24"/>
          <w:szCs w:val="24"/>
          <w:shd w:val="clear" w:color="auto" w:fill="FFFFFF"/>
        </w:rPr>
        <w:t>In the pretest and posttest, the mean total knowledge scores about post-operative pain treatment were (M= 62.83, SD= 9.583), t = -59, P=0.01, respectively. The results raise concerns about the respondents' intolerable lack of understanding regarding how to manage patients' post-operative pain.</w:t>
      </w:r>
    </w:p>
    <w:p>
      <w:pPr>
        <w:spacing w:after="0" w:line="240" w:lineRule="auto"/>
        <w:jc w:val="both"/>
        <w:rPr>
          <w:rFonts w:ascii="Times New Roman" w:hAnsi="Times New Roman" w:cs="Times New Roman"/>
          <w:bCs/>
          <w:sz w:val="24"/>
          <w:szCs w:val="24"/>
          <w:shd w:val="clear" w:color="auto" w:fill="FFFFFF"/>
        </w:rPr>
      </w:pPr>
    </w:p>
    <w:p>
      <w:pPr>
        <w:spacing w:after="0" w:line="240" w:lineRule="auto"/>
        <w:jc w:val="both"/>
        <w:rPr>
          <w:rFonts w:ascii="Times New Roman" w:hAnsi="Times New Roman" w:cs="Times New Roman"/>
          <w:b/>
          <w:bCs/>
          <w:iCs/>
          <w:sz w:val="24"/>
          <w:szCs w:val="24"/>
          <w:shd w:val="clear" w:color="auto" w:fill="FFFFFF"/>
        </w:rPr>
      </w:pPr>
      <w:r>
        <w:rPr>
          <w:rFonts w:ascii="Times New Roman" w:hAnsi="Times New Roman" w:cs="Times New Roman"/>
          <w:b/>
          <w:bCs/>
          <w:iCs/>
          <w:sz w:val="24"/>
          <w:szCs w:val="24"/>
          <w:shd w:val="clear" w:color="auto" w:fill="FFFFFF"/>
        </w:rPr>
        <w:t>Conclusion</w:t>
      </w:r>
    </w:p>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Nurses’ low level of knowledge, unacceptable attitude, and practice were acknowledged. Nursing curricula both at Under-Graduate and master’s should be undertaken to ensure relevant, appropriate information equips nurses to effectively manage pain. </w:t>
      </w: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sectPr>
          <w:headerReference r:id="rId7" w:type="first"/>
          <w:footerReference r:id="rId10" w:type="first"/>
          <w:headerReference r:id="rId5" w:type="default"/>
          <w:footerReference r:id="rId8" w:type="default"/>
          <w:headerReference r:id="rId6" w:type="even"/>
          <w:footerReference r:id="rId9" w:type="even"/>
          <w:pgSz w:w="12240" w:h="15840"/>
          <w:pgMar w:top="1440" w:right="1440" w:bottom="1440" w:left="1440" w:header="720" w:footer="720" w:gutter="0"/>
          <w:pgNumType w:fmt="lowerRoman" w:start="1"/>
          <w:cols w:space="720" w:num="1"/>
          <w:titlePg/>
          <w:docGrid w:linePitch="360" w:charSpace="0"/>
        </w:sect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right="720"/>
        <w:rPr>
          <w:rFonts w:ascii="Times New Roman" w:hAnsi="Times New Roman" w:cs="Times New Roman"/>
          <w:b/>
          <w:bCs/>
          <w:sz w:val="24"/>
          <w:szCs w:val="24"/>
        </w:rPr>
      </w:pPr>
    </w:p>
    <w:p>
      <w:pPr>
        <w:pStyle w:val="42"/>
        <w:spacing w:line="480" w:lineRule="auto"/>
        <w:ind w:left="720" w:right="720"/>
        <w:rPr>
          <w:rFonts w:ascii="Times New Roman" w:hAnsi="Times New Roman" w:cs="Times New Roman"/>
          <w:b/>
          <w:bCs/>
          <w:sz w:val="24"/>
          <w:szCs w:val="24"/>
        </w:rPr>
        <w:sectPr>
          <w:type w:val="continuous"/>
          <w:pgSz w:w="12240" w:h="15840"/>
          <w:pgMar w:top="1440" w:right="1440" w:bottom="1440" w:left="1440" w:header="720" w:footer="720" w:gutter="0"/>
          <w:pgNumType w:start="1"/>
          <w:cols w:space="720" w:num="1"/>
          <w:titlePg/>
          <w:docGrid w:linePitch="360" w:charSpace="0"/>
        </w:sectPr>
      </w:pPr>
    </w:p>
    <w:p>
      <w:pPr>
        <w:pStyle w:val="3"/>
        <w:jc w:val="center"/>
        <w:rPr>
          <w:rFonts w:ascii="Times New Roman" w:hAnsi="Times New Roman" w:cs="Times New Roman"/>
          <w:sz w:val="24"/>
          <w:szCs w:val="24"/>
        </w:rPr>
      </w:pPr>
      <w:bookmarkStart w:id="10" w:name="_Toc142753374"/>
      <w:r>
        <w:rPr>
          <w:rFonts w:ascii="Times New Roman" w:hAnsi="Times New Roman" w:cs="Times New Roman"/>
          <w:sz w:val="24"/>
          <w:szCs w:val="24"/>
        </w:rPr>
        <w:t>Chapter One:</w:t>
      </w:r>
      <w:bookmarkEnd w:id="10"/>
    </w:p>
    <w:p>
      <w:pPr>
        <w:pStyle w:val="3"/>
        <w:rPr>
          <w:rFonts w:ascii="Times New Roman" w:hAnsi="Times New Roman" w:cs="Times New Roman"/>
          <w:b w:val="0"/>
          <w:sz w:val="24"/>
          <w:szCs w:val="24"/>
        </w:rPr>
      </w:pPr>
      <w:bookmarkStart w:id="11" w:name="_Toc142753375"/>
      <w:r>
        <w:rPr>
          <w:rFonts w:ascii="Times New Roman" w:hAnsi="Times New Roman" w:cs="Times New Roman"/>
          <w:sz w:val="24"/>
          <w:szCs w:val="24"/>
        </w:rPr>
        <w:t>Introduction</w:t>
      </w:r>
      <w:bookmarkEnd w:id="11"/>
    </w:p>
    <w:bookmarkEnd w:id="1"/>
    <w:p>
      <w:pPr>
        <w:autoSpaceDE w:val="0"/>
        <w:autoSpaceDN w:val="0"/>
        <w:adjustRightInd w:val="0"/>
        <w:spacing w:before="100" w:beforeAutospacing="1" w:after="100" w:afterAutospacing="1" w:line="480" w:lineRule="auto"/>
        <w:ind w:firstLine="630"/>
        <w:jc w:val="both"/>
        <w:rPr>
          <w:rFonts w:ascii="Times New Roman" w:hAnsi="Times New Roman" w:cs="Times New Roman"/>
          <w:bCs/>
          <w:color w:val="FF0000"/>
          <w:sz w:val="24"/>
          <w:szCs w:val="24"/>
          <w:shd w:val="clear" w:color="auto" w:fill="FFFFFF"/>
        </w:rPr>
      </w:pPr>
      <w:r>
        <w:rPr>
          <w:rFonts w:ascii="Times New Roman" w:hAnsi="Times New Roman" w:cs="Times New Roman"/>
          <w:sz w:val="24"/>
          <w:szCs w:val="24"/>
          <w:shd w:val="clear" w:color="auto" w:fill="FFFFFF"/>
        </w:rPr>
        <w:t>Pain is a negative sensory and emotional experience that is linked to tissue damage, either present or potential, or is portrayed as such harm (American pain society, 2008).</w:t>
      </w:r>
      <w:r>
        <w:rPr>
          <w:rFonts w:ascii="Times New Roman" w:hAnsi="Times New Roman" w:cs="Times New Roman"/>
          <w:bCs/>
          <w:sz w:val="24"/>
          <w:szCs w:val="24"/>
          <w:shd w:val="clear" w:color="auto" w:fill="FFFFFF"/>
        </w:rPr>
        <w:t xml:space="preserve"> </w:t>
      </w:r>
      <w:r>
        <w:rPr>
          <w:rFonts w:ascii="Times New Roman" w:hAnsi="Times New Roman" w:cs="Times New Roman"/>
          <w:sz w:val="24"/>
          <w:szCs w:val="24"/>
        </w:rPr>
        <w:t>Inadequate pain management after surgery can lead to postoperative problems like depression, deep vein thrombosis, deep vein hypertension, and chronic pain, lengthening hospital stays and readmission rates, and negatively affecting patients' overall health outcomes</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{"citationItems":[{"id":"ITEM-1","itemData":{"DOI":"10.1185/03007995.2015.1092122","ISSN":"14734877","PMID":"26359332","abstract":"Poor management of post-operative acute pain can contribute to medical complications including pneumonia, deep vein thrombosis, infection and delayed healing, as well as the development of chronic pain. It is therefore important that all patients undergoing surgery should receive adequate pain management. However, evidence suggests this is not currently the case; between 10% and 50% of patients develop chronic pain after various common operations, and one recent US study recorded &gt;80% of patients experiencing post-operative pain.At the first meeting of the acute chapter of the Change Pain Advisory Board, key priorities for improving post-operative pain management were identified in four different areas. Firstly, patients should be more involved in decisions regarding their own treatment, particularly when fateful alternatives are being considered. For this to be meaningful, relevant information should be provided so they are well informed about the various options available. Good physician/patient communication is also essential. Secondly, better professional education and training of the various members of the multidisciplinary pain management team would enhance their skills and knowledge, and thereby improve patient care. Thirdly, there is scope for optimizing treatment. Examples include the use of synergistic analgesia to target pain at different points along pain pathways, more widespread adoption of patient-controlled analgesia, and the use of minimally invasive rather than open surgery. Fourthly, organizational change could provide similar benefits; introducing acute pain services and increasing their availability towards the 24 hours/day ideal, greater adherence to protocols, increased use of patient-reported outcomes, and greater receptivity to technological advances would all help to enhance performance and increase patient satisfaction. It must be acknowledged that implementing these recommendations would incur a considerable cost that purchasers of healthcare may be unwilling or unable to finance. Nevertheless, change is under way and the political will exists for it to continue.","author":[{"dropping-particle":"","family":"Meissner","given":"Winfried","non-dropping-particle":"","parse-names":false,"suffix":""},{"dropping-particle":"","family":"Coluzzi","given":"Flaminia","non-dropping-particle":"","parse-names":false,"suffix":""},{"dropping-particle":"","family":"Fletcher","given":"Dominique","non-dropping-particle":"","parse-names":false,"suffix":""},{"dropping-particle":"","family":"Huygen","given":"Frank","non-dropping-particle":"","parse-names":false,"suffix":""},{"dropping-particle":"","family":"Morlion","given":"Bart","non-dropping-particle":"","parse-names":false,"suffix":""},{"dropping-particle":"","family":"Neugebauer","given":"Edmund","non-dropping-particle":"","parse-names":false,"suffix":""},{"dropping-particle":"","family":"Pérez","given":"Antonio Montes","non-dropping-particle":"","parse-names":false,"suffix":""},{"dropping-particle":"","family":"Pergolizzi","given":"Joseph","non-dropping-particle":"","parse-names":false,"suffix":""}],"container-title":"Current Medical Research and Opinion","id":"ITEM-1","issue":"11","issued":{"date-parts":[["2015"]]},"page":"2131-2143","title":"Improving the management of post-operative acute pain: Priorities for change","type":"article-journal","volume":"31"},"uris":["http://www.mendeley.com/documents/?uuid=28cd6f52-80ad-4195-8eec-92e03fd3e012"]}],"mendeley":{"formattedCitation":"(Meissner et al., 2015)","plainTextFormattedCitation":"(Meissner et al., 2015)","previouslyFormattedCitation":"(Meissner et al., 2015)"},"properties":{"noteIndex":0},"schema":"https://github.com/citation-style-language/schema/raw/master/csl-citation.json"}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(Meissner et al., 2015)</w:t>
      </w:r>
      <w:r>
        <w:rPr>
          <w:rFonts w:ascii="Times New Roman" w:hAnsi="Times New Roman" w:cs="Times New Roman"/>
          <w:bCs/>
          <w:sz w:val="24"/>
          <w:szCs w:val="24"/>
        </w:rPr>
        <w:fldChar w:fldCharType="end"/>
      </w:r>
      <w:r>
        <w:rPr>
          <w:rFonts w:ascii="Times New Roman" w:hAnsi="Times New Roman" w:cs="Times New Roman"/>
          <w:bCs/>
          <w:sz w:val="24"/>
          <w:szCs w:val="24"/>
        </w:rPr>
        <w:t>.</w:t>
      </w:r>
      <w:r>
        <w:rPr>
          <w:rFonts w:ascii="Times New Roman" w:hAnsi="Times New Roman" w:cs="Times New Roman"/>
          <w:sz w:val="24"/>
          <w:szCs w:val="24"/>
        </w:rPr>
        <w:t xml:space="preserve"> </w:t>
      </w:r>
      <w:r>
        <w:rPr>
          <w:rFonts w:ascii="Times New Roman" w:hAnsi="Times New Roman" w:cs="Times New Roman"/>
          <w:bCs/>
          <w:sz w:val="24"/>
          <w:szCs w:val="24"/>
          <w:shd w:val="clear" w:color="auto" w:fill="FFFFFF"/>
        </w:rPr>
        <w:t>Pain intensity levels are assessed using both pharmacological and non-pharmacological methods, such as visual analog and numerical rating scales, and serve as a guide for effective pain treatment</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{"citationItems":[{"id":"ITEM-1","itemData":{"DOI":"10.1093/bja/aew466","ISSN":"14716771","PMID":"28186223","abstract":"Background. The 100mmvisual analog scale (VAS) score is widely used to measure pain intensity after surgery. Despite this widespread use, it is unclear what constitutes the minimal clinically important difference (MCID); that is, what minimal change in score would indicate a meaningful change in a patient's pain status. Methods. We enrolled a sequential, unselected cohort of patients recovering from surgery and used a VAS to quantify pain intensity. We compared changes in the VAS with a global rating-of-change questionnaire using an anchor-based method and three distribution-based methods (0.3 SD, standard error of the measurement, and 5% range). We then averaged the change estimates to determine the MCID for the pain VAS. The patient acceptable symptom state (PASS) was defined as the 25th centile of the VAS corresponding to a positive patient response to having made a good recovery from surgery. Results. We enrolled 224 patients at the first postoperative visit, and 219 of these were available for a second interview. The VAS scores improved significantly between the first two interviews. Triangulation of distribution and anchor-based methods resulted in an MCID of 9.9 for the pain VAS, and a PASS of 33. Conclusions. Analgesic interventions that provide a change of 10 for the 100mmpain VAS signify a clinically important improvement or deterioration, and a VAS of 33 or less signifies acceptable pain control (i.e. a responder), after surgery.","author":[{"dropping-particle":"","family":"Myles","given":"P. S.","non-dropping-particle":"","parse-names":false,"suffix":""},{"dropping-particle":"","family":"Myles","given":"D. B.","non-dropping-particle":"","parse-names":false,"suffix":""},{"dropping-particle":"","family":"Galagher","given":"W.","non-dropping-particle":"","parse-names":false,"suffix":""},{"dropping-particle":"","family":"Boyd","given":"D.","non-dropping-particle":"","parse-names":false,"suffix":""},{"dropping-particle":"","family":"Chew","given":"C.","non-dropping-particle":"","parse-names":false,"suffix":""},{"dropping-particle":"","family":"MacDonald","given":"N.","non-dropping-particle":"","parse-names":false,"suffix":""},{"dropping-particle":"","family":"Dennis","given":"A.","non-dropping-particle":"","parse-names":false,"suffix":""}],"container-title":"British Journal of Anaesthesia","id":"ITEM-1","issue":"3","issued":{"date-parts":[["2017"]]},"page":"424-429","publisher":"The Author(s)","title":"Measuring acute postoperative pain using the visual analog scale: The minimal clinically important difference and patient acceptable symptom state","type":"article-journal","volume":"118"},"uris":["http://www.mendeley.com/documents/?uuid=e9868862-f2c8-49aa-908e-50102e707a34"]}],"mendeley":{"formattedCitation":"(Myles et al., 2017)","plainTextFormattedCitation":"(Myles et al., 2017)","previouslyFormattedCitation":"(Myles et al., 2017)"},"properties":{"noteIndex":0},"schema":"https://github.com/citation-style-language/schema/raw/master/csl-citation.json"}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(Myles et al., 2017)</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w:t>
      </w:r>
      <w:bookmarkStart w:id="12" w:name="_Hlk97226324"/>
    </w:p>
    <w:p>
      <w:pPr>
        <w:autoSpaceDE w:val="0"/>
        <w:autoSpaceDN w:val="0"/>
        <w:adjustRightInd w:val="0"/>
        <w:spacing w:before="100" w:beforeAutospacing="1" w:after="100" w:afterAutospacing="1" w:line="480" w:lineRule="auto"/>
        <w:ind w:firstLine="630"/>
        <w:jc w:val="both"/>
        <w:rPr>
          <w:rFonts w:ascii="Times New Roman" w:hAnsi="Times New Roman" w:cs="Times New Roman"/>
          <w:bCs/>
          <w:color w:val="FF0000"/>
          <w:sz w:val="24"/>
          <w:szCs w:val="24"/>
          <w:shd w:val="clear" w:color="auto" w:fill="FFFFFF"/>
        </w:rPr>
      </w:pPr>
      <w:r>
        <w:rPr>
          <w:rFonts w:ascii="Times New Roman" w:hAnsi="Times New Roman" w:cs="Times New Roman"/>
          <w:sz w:val="24"/>
          <w:szCs w:val="24"/>
          <w:shd w:val="clear" w:color="auto" w:fill="FFFFFF"/>
        </w:rPr>
        <w:t>Despite the measures applied to manage postoperative pain, patients continue to experience acute pain after surgical procedure</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fldChar w:fldCharType="begin" w:fldLock="1"/>
      </w:r>
      <w:r>
        <w:rPr>
          <w:rFonts w:ascii="Times New Roman" w:hAnsi="Times New Roman" w:cs="Times New Roman" w:eastAsiaTheme="minorEastAsia"/>
          <w:sz w:val="24"/>
          <w:szCs w:val="24"/>
        </w:rPr>
        <w:instrText xml:space="preserve">ADDIN CSL_CITATION {"citationItems":[{"id":"ITEM-1","itemData":{"abstract":"Background: Patients frequently experience moderate to severe pain in the postoperative period. Although the pain management is an integral and important part of the nursing care, studies suggest that nursing management of postoperative pain remains inadequate. Nurses are responsible in assessing the pain, applying the pharmacologic and/or non-pharmacologic methods, monitoring results, training the patient and family, and documenting the implementations. The nurses' holistic approach to pain management minimizes the patients' pain. Aims: The purpose of this research was to determine post-operative experience of pain among patients undergoing abdominal surgery and to identify nursing approaches to pain control. Methodology: This descriptive study was performed with 103 patients hospitalized in the surgical departments of a public hospital. Results: In the post-surgical period, a mean patient severity of pain of 4.40±2.7 was determined based on a Visual Analogue Scale. Painkillers reduced pain in 89.3% of cases. Pain severity in patients who had previously undergone surgical procedures was higher than that in patients with no such history. We also determined that nurses did not employ scales for pain evaluation and did not assess the nature of the pain. During the process of bringing pain under control, 75.7% of patients reported that a calm and silent environment was provided, 78.6% that they were helped into a suitable position, 47.6% that hot/cold applications were administered, while no other non-pharmalogical procedures such as massage, listening to music or distraction were performed. Conclusions: In conclusion, there appear to be deficiencies regarding the identification and management of pain. In the light of these findings we recommend that research be performed aimed at developing standards for pain management.","author":[{"dropping-particle":"","family":"Ayhan","given":"Fatma","non-dropping-particle":"","parse-names":false,"suffix":""},{"dropping-particle":"","family":"Şerife","given":"Kurşun","non-dropping-particle":"","parse-names":false,"suffix":""}],"container-title":"International Journal of Caring","id":"ITEM-1","issue":"3","issued":{"date-parts":[["2017"]]},"page":"1456-64","title":"Experience of pain in patients undergoing abdominal surgery and nursing approaches to pain control","type":"article-journal","volume":"10"},"uris":["http://www.mendeley.com/documents/?uuid=2f82fa15-003e-4372-8ec4-3464a00606ce"]}],"mendeley":{"formattedCitation":"(Ayhan &amp; Şerife, 2017)","manualFormatting":"(Ayhan &amp; Şerife, 2017; Menlah et al., 2018; Ogboli-Nwasor, Sule, &amp; Yusuf, 2012)","plainTextFormattedCitation":"(Ayhan &amp; Şerife, 2017)","previouslyFormattedCitation":"(Ayhan &amp; Şerife, 2017)"},"properties":{"noteIndex":0},"schema":"https://github.com/citation-style-language/schema/raw/master/csl-citation.json"}</w:instrText>
      </w:r>
      <w:r>
        <w:rPr>
          <w:rFonts w:ascii="Times New Roman" w:hAnsi="Times New Roman" w:cs="Times New Roman" w:eastAsiaTheme="minorEastAsia"/>
          <w:sz w:val="24"/>
          <w:szCs w:val="24"/>
        </w:rPr>
        <w:fldChar w:fldCharType="separate"/>
      </w:r>
      <w:r>
        <w:rPr>
          <w:rFonts w:ascii="Times New Roman" w:hAnsi="Times New Roman" w:cs="Times New Roman" w:eastAsiaTheme="minorEastAsia"/>
          <w:sz w:val="24"/>
          <w:szCs w:val="24"/>
        </w:rPr>
        <w:t>(Ayhan &amp; Şerife, 2017; Menlah et al., 2018; Ogboli-Nwasor, Sule, &amp; Yusuf, 2012)</w:t>
      </w:r>
      <w:r>
        <w:rPr>
          <w:rFonts w:ascii="Times New Roman" w:hAnsi="Times New Roman" w:cs="Times New Roman" w:eastAsiaTheme="minorEastAsia"/>
          <w:sz w:val="24"/>
          <w:szCs w:val="24"/>
        </w:rPr>
        <w:fldChar w:fldCharType="end"/>
      </w:r>
      <w:r>
        <w:rPr>
          <w:rFonts w:ascii="Times New Roman" w:hAnsi="Times New Roman" w:cs="Times New Roman" w:eastAsiaTheme="minorEastAsia"/>
          <w:sz w:val="24"/>
          <w:szCs w:val="24"/>
        </w:rPr>
        <w:t xml:space="preserve">. </w:t>
      </w:r>
      <w:r>
        <w:rPr>
          <w:rFonts w:ascii="Times New Roman" w:hAnsi="Times New Roman" w:cs="Times New Roman"/>
          <w:bCs/>
          <w:sz w:val="24"/>
          <w:szCs w:val="24"/>
          <w:shd w:val="clear" w:color="auto" w:fill="FFFFFF"/>
        </w:rPr>
        <w:t>An educational intervention of introducing a pain assessment scale to the nurses knowledge ,attitude and practice  will be employed to improve the assessment of the pain using a numerical rating scale in order to increase nurses' ability to provide effective postoperative treatment (Timby &amp; Smith, 2018).  As a result, the study will outline how using the pain assessment scale affected nurses' knowledge, attitude, and practices about post-operative pain care on the surgical ward. This concentrated on the first 48 hours following surgery, when pain is still recent and severe.</w:t>
      </w:r>
      <w:bookmarkEnd w:id="12"/>
    </w:p>
    <w:p>
      <w:pPr>
        <w:pStyle w:val="3"/>
        <w:rPr>
          <w:rFonts w:ascii="Times New Roman" w:hAnsi="Times New Roman" w:cs="Times New Roman"/>
          <w:b w:val="0"/>
          <w:sz w:val="24"/>
          <w:szCs w:val="24"/>
        </w:rPr>
      </w:pPr>
      <w:bookmarkStart w:id="13" w:name="_Toc134604126"/>
      <w:bookmarkStart w:id="14" w:name="_Toc142753376"/>
      <w:r>
        <w:rPr>
          <w:rFonts w:ascii="Times New Roman" w:hAnsi="Times New Roman" w:cs="Times New Roman"/>
          <w:sz w:val="24"/>
          <w:szCs w:val="24"/>
        </w:rPr>
        <w:t>Background</w:t>
      </w:r>
      <w:bookmarkEnd w:id="13"/>
      <w:bookmarkEnd w:id="14"/>
    </w:p>
    <w:p>
      <w:pPr>
        <w:pStyle w:val="24"/>
        <w:tabs>
          <w:tab w:val="left" w:pos="9360"/>
        </w:tabs>
        <w:autoSpaceDE w:val="0"/>
        <w:autoSpaceDN w:val="0"/>
        <w:adjustRightInd w:val="0"/>
        <w:spacing w:before="100" w:beforeAutospacing="1" w:after="100" w:afterAutospacing="1" w:line="480" w:lineRule="auto"/>
        <w:ind w:left="90" w:firstLine="720"/>
        <w:jc w:val="both"/>
        <w:rPr>
          <w:shd w:val="clear" w:color="auto" w:fill="FFFFFF"/>
        </w:rPr>
      </w:pPr>
      <w:r>
        <w:rPr>
          <w:shd w:val="clear" w:color="auto" w:fill="FFFFFF"/>
        </w:rPr>
        <w:t xml:space="preserve"> Postoperative pain (POP) remains one of the greatest concerns for patients following surgical procedures. </w:t>
      </w:r>
      <w:bookmarkStart w:id="15" w:name="_Hlk94909687"/>
      <w:r>
        <w:t>Acute pain from tissue damage after surgical operations such skin incision, tissue dissection, manipulation, and traction is referred to as post-operative pain</w:t>
      </w:r>
      <w:r>
        <w:rPr>
          <w:bCs/>
        </w:rPr>
        <w:fldChar w:fldCharType="begin" w:fldLock="1"/>
      </w:r>
      <w:r>
        <w:rPr>
          <w:bCs/>
        </w:rPr>
        <w:instrText xml:space="preserve">ADDIN CSL_CITATION {"citationItems":[{"id":"ITEM-1","itemData":{"DOI":"10.1155/2019/9091467","ISSN":"2090-1429","abstract":" Background. Postoperative pain remains one of the greatest concerns for patients following surgical procedures. Nurses play an essential role in postoperative pain assessment and management, especially within the first few days after surgery. Objective. The study investigated how nurses in a resource-constraint hospital in Ghana assessed and managed postoperative pain. Methods. This was an explorative qualitative study involving 12 registered nurses practising in the largest referral hospital in Ghana. Data was gathered using a semistructured interview guide. Demographic characteristics of participants were summarized using descriptive statistics. Data were analysed using Kvale’s three phases for analysing qualitative data. First, the entire text was read again to identify meaning units which were then condensed. Second, the condensed texts were read again and interpreted. Finally, the condensed data containing similar meaning were coded and then sorted into subthemes. Results. It was found that some nurses have never used any pain assessment tool due to lack of standard tool for assessing postoperative pain. The majority of nurses reported that managing pain by using medication was the norm especially in the first 24 hours after surgery. Conclusion. Although participants may have some knowledge of assessing and managing postoperative pain, this knowledge was not largely used to manage postoperative pain effectively, partly because of resource constraints. Therefore, there is the need for adequate training and with provision of resources, it is imperative that the use of standardized pain assessment scales could help in the proper assessment and management of postoperative pain in this setting. ","author":[{"dropping-particle":"","family":"Mahama","given":"Faisal","non-dropping-particle":"","parse-names":false,"suffix":""},{"dropping-particle":"","family":"Ninnoni","given":"Jerry P. K.","non-dropping-particle":"","parse-names":false,"suffix":""}],"container-title":"Nursing Research and Practice","id":"ITEM-1","issued":{"date-parts":[["2019"]]},"page":"1-7","title":"Assessment and Management of Postoperative Pain among Nurses at a Resource-Constraint Teaching Hospital in Ghana","type":"article-journal","volume":"2019"},"uris":["http://www.mendeley.com/documents/?uuid=913ba63c-f6cb-436f-815a-cfce17096014"]}],"mendeley":{"formattedCitation":"(Mahama &amp; Ninnoni, 2019)","plainTextFormattedCitation":"(Mahama &amp; Ninnoni, 2019)","previouslyFormattedCitation":"(Mahama &amp; Ninnoni, 2019)"},"properties":{"noteIndex":0},"schema":"https://github.com/citation-style-language/schema/raw/master/csl-citation.json"}</w:instrText>
      </w:r>
      <w:r>
        <w:rPr>
          <w:bCs/>
        </w:rPr>
        <w:fldChar w:fldCharType="separate"/>
      </w:r>
      <w:r>
        <w:rPr>
          <w:bCs/>
        </w:rPr>
        <w:t>(Mahama &amp; Ninnoni, 2019</w:t>
      </w:r>
      <w:r>
        <w:rPr>
          <w:bCs/>
        </w:rPr>
        <w:fldChar w:fldCharType="end"/>
      </w:r>
      <w:r>
        <w:rPr>
          <w:rFonts w:eastAsia="Times New Roman"/>
          <w:bCs/>
        </w:rPr>
        <w:t>;</w:t>
      </w:r>
      <w:r>
        <w:rPr>
          <w:bCs/>
        </w:rPr>
        <w:t xml:space="preserve"> </w:t>
      </w:r>
      <w:r>
        <w:rPr>
          <w:bCs/>
        </w:rPr>
        <w:fldChar w:fldCharType="begin" w:fldLock="1"/>
      </w:r>
      <w:r>
        <w:rPr>
          <w:bCs/>
        </w:rPr>
        <w:instrText xml:space="preserve">ADDIN CSL_CITATION {"citationItems":[{"id":"ITEM-1","itemData":{"author":[{"dropping-particle":"","family":"Barbara, Kuhn, Timby and Smith","given":"E. Nancy","non-dropping-particle":"","parse-names":false,"suffix":""}],"id":"ITEM-1","issued":{"date-parts":[["2018"]]},"publisher":"Wolters Kluwer","title":"Introductory Medical-Surgical Nursing","type":"book"},"uris":["http://www.mendeley.com/documents/?uuid=c37f5d89-50f3-4d58-9e2a-32f08cffa802"]}],"mendeley":{"formattedCitation":"(Barbara, Kuhn, Timby and Smith, 2018)","manualFormatting":"(Timby &amp; Smith, 2018)","plainTextFormattedCitation":"(Barbara, Kuhn, Timby and Smith, 2018)","previouslyFormattedCitation":"(Barbara, Kuhn, Timby and Smith, 2018)"},"properties":{"noteIndex":0},"schema":"https://github.com/citation-style-language/schema/raw/master/csl-citation.json"}</w:instrText>
      </w:r>
      <w:r>
        <w:rPr>
          <w:bCs/>
        </w:rPr>
        <w:fldChar w:fldCharType="separate"/>
      </w:r>
      <w:r>
        <w:rPr>
          <w:bCs/>
        </w:rPr>
        <w:t>Timby &amp; Smith, 2018</w:t>
      </w:r>
      <w:r>
        <w:rPr>
          <w:bCs/>
        </w:rPr>
        <w:fldChar w:fldCharType="end"/>
      </w:r>
      <w:r>
        <w:rPr>
          <w:bCs/>
        </w:rPr>
        <w:t>;</w:t>
      </w:r>
      <w:r>
        <w:rPr>
          <w:rFonts w:eastAsia="Times New Roman"/>
          <w:bCs/>
        </w:rPr>
        <w:t xml:space="preserve"> </w:t>
      </w:r>
      <w:r>
        <w:rPr>
          <w:rFonts w:eastAsia="Times New Roman"/>
          <w:bCs/>
        </w:rPr>
        <w:fldChar w:fldCharType="begin" w:fldLock="1"/>
      </w:r>
      <w:r>
        <w:rPr>
          <w:rFonts w:eastAsia="Times New Roman"/>
          <w:bCs/>
        </w:rPr>
        <w:instrText xml:space="preserve">ADDIN CSL_CITATION {"citationItems":[{"id":"ITEM-1","itemData":{"DOI":"10.4314/thrb.v16i1.7","ISSN":"18216404","PMID":"26867272","abstract":"Inadequately controlled postoperative pain (POP) subjects individuals to complications which may be fatal or leading to prolonged hospital stay. Complications from inadequately controlled POP may alleviate the existing shortage of hospital human resource for health in health facilities in developing countries. The burden and challenges of POP management at health facilities in Tanzania is not known. This study was therefore carried out to evaluate postoperative pain management and patient satisfaction with care given at Kilimanjaro Christian Medical Centre (KCMC). This descriptive prospective hospital based study, was conducted at the Kilimanjaro Christian Medical Centre in Moshi, Tanzania from August 2011 to March 2012. POP and patients' satisfaction with pain relief scores were assessed using pain and satisfaction numerical rating scales. Pain assessment was done at 24 hours and 48 hours after operation. Satisfaction was assessed on 48 hours post surgery. All adult patient aged 18 years and above whom were operated in general surgery ward, KCMC and accepted by signing consent were involved in the study. Patients suffering from nervous system were excluded from the study. A total number of 124 patients were recruited and participated in the study. Sixty-five (52.4%) were males and 59 (47.6%) females. Mean age (SD) years 40.9 ± 15.4. The largest percentage of individuals had mild pain both at rest (45.2%) and during movement (44.4%). Patients whose analgesia was administered intravenously were more likely to be satisfied with POP management than those given intramuscular analgesics (P= 0.028). Analgesia used in combination increased significantly the proportion of pain free individuals 48 hours postoperative compared to 24 hours postoperative (P= 0.003). In conclusion, the postoperative pain management is still a challenge in our centre as nearly half of the patient had mild pain in the first 48 hours post surgery.","author":[{"dropping-particle":"","family":"Masigati","given":"Herbert G.","non-dropping-particle":"","parse-names":false,"suffix":""},{"dropping-particle":"","family":"Chilonga","given":"Kondo S.","non-dropping-particle":"","parse-names":false,"suffix":""}],"container-title":"Tanzania Journal of Health Research","id":"ITEM-1","issue":"1","issued":{"date-parts":[["2014"]]},"title":"Postoperative pain management outcomes among adults treated at a tertiary hospital in Moshi, Tanzania","type":"article-journal","volume":"16"},"uris":["http://www.mendeley.com/documents/?uuid=b7f7f79a-e874-4a8b-bae8-88a639bd37eb"]}],"mendeley":{"formattedCitation":"(Masigati &amp; Chilonga, 2014)","plainTextFormattedCitation":"(Masigati &amp; Chilonga, 2014)","previouslyFormattedCitation":"(Masigati &amp; Chilonga, 2014)"},"properties":{"noteIndex":0},"schema":"https://github.com/citation-style-language/schema/raw/master/csl-citation.json"}</w:instrText>
      </w:r>
      <w:r>
        <w:rPr>
          <w:rFonts w:eastAsia="Times New Roman"/>
          <w:bCs/>
        </w:rPr>
        <w:fldChar w:fldCharType="separate"/>
      </w:r>
      <w:r>
        <w:rPr>
          <w:rFonts w:eastAsia="Times New Roman"/>
          <w:bCs/>
        </w:rPr>
        <w:t>Masigati &amp; Chilonga, 2014</w:t>
      </w:r>
      <w:r>
        <w:rPr>
          <w:rFonts w:eastAsia="Times New Roman"/>
          <w:bCs/>
        </w:rPr>
        <w:fldChar w:fldCharType="end"/>
      </w:r>
      <w:r>
        <w:rPr>
          <w:rFonts w:eastAsia="Times New Roman"/>
          <w:bCs/>
        </w:rPr>
        <w:t xml:space="preserve">; </w:t>
      </w:r>
      <w:r>
        <w:rPr>
          <w:rFonts w:eastAsia="Times New Roman"/>
          <w:bCs/>
        </w:rPr>
        <w:fldChar w:fldCharType="begin" w:fldLock="1"/>
      </w:r>
      <w:r>
        <w:rPr>
          <w:rFonts w:eastAsia="Times New Roman"/>
          <w:bCs/>
        </w:rPr>
        <w:instrText xml:space="preserve">ADDIN CSL_CITATION {"citationItems":[{"id":"ITEM-1","itemData":{"DOI":"10.1177/2377960818790383","ISSN":"23779608","abstract":"Introduction: There is documented evidence pointing to the fact that there are numerous challenges with postoperative pain (POP) management globally. However, these challenges with POP management are more profound in developing countries. Purpose: The purpose of this study is to examine the knowledge, attitude, and practices of nurses concerning POP management in four selected district hospitals in Ghana. Methodology: A descriptive, cross-sectional survey was employed to evaluate nurse's knowledge, attitude, and practices pertaining to POP management. Multistaged sampling was used to draw the respondents. An adapted version of the Nurses Knowledge and Attitudes Survey Regarding Pain instrument was used to test the knowledge, attitude, and practices of nurses and midwives. Descriptive statistics were used to analyze the data in order to present quantitative descriptions of variables in this study. Results: This study showed that nurses in the four district hospitals had knowledge deficits regarding POP management. Eighty-one representing 48% of nurses had low knowledge on POP management. An overwhelming majority of nurses (97.6%) relied on routinely rendered basic nursing skills to relieve POP and a few used pharmacological interventions. However, nurses had good attitudes toward POP management. Conclusions: POP is ineffectively managed by nurses in district hospitals in Ghana. Nurses and midwives in Ghana need to adhere to best practices in POP management by increasing their theoretical and practical knowledge, so that there will be tangible positive change in POP management in Ghana. Recommendations: Nurses must be empowered through continuous development programs to keep abreast with changing trends that pertain to POP management.","author":[{"dropping-particle":"","family":"Menlah","given":"Awube","non-dropping-particle":"","parse-names":false,"suffix":""},{"dropping-particle":"","family":"Garti","given":"Isabella","non-dropping-particle":"","parse-names":false,"suffix":""},{"dropping-particle":"","family":"Amoo","given":"Sarah Ama","non-dropping-particle":"","parse-names":false,"suffix":""},{"dropping-particle":"","family":"Atakro","given":"Confidence Alorse","non-dropping-particle":"","parse-names":false,"suffix":""},{"dropping-particle":"","family":"Amponsah","given":"Caleb","non-dropping-particle":"","parse-names":false,"suffix":""},{"dropping-particle":"","family":"Agyare","given":"Dorcas Frempomaa","non-dropping-particle":"","parse-names":false,"suffix":""}],"container-title":"SAGE Open Nursing","id":"ITEM-1","issued":{"date-parts":[["2018"]]},"page":"1-11","title":"Knowledge, Attitudes, and Practices of Postoperative Pain Management by Nurses in Selected District Hospitals in Ghana","type":"article-journal","volume":"4"},"uris":["http://www.mendeley.com/documents/?uuid=07b40d8d-551e-4a98-9e1d-ebebaef22123"]}],"mendeley":{"formattedCitation":"(Menlah et al., 2018)","plainTextFormattedCitation":"(Menlah et al., 2018)","previouslyFormattedCitation":"(Menlah et al., 2018)"},"properties":{"noteIndex":0},"schema":"https://github.com/citation-style-language/schema/raw/master/csl-citation.json"}</w:instrText>
      </w:r>
      <w:r>
        <w:rPr>
          <w:rFonts w:eastAsia="Times New Roman"/>
          <w:bCs/>
        </w:rPr>
        <w:fldChar w:fldCharType="separate"/>
      </w:r>
      <w:r>
        <w:rPr>
          <w:rFonts w:eastAsia="Times New Roman"/>
          <w:bCs/>
        </w:rPr>
        <w:t>Menlah et al., 2018)</w:t>
      </w:r>
      <w:r>
        <w:rPr>
          <w:rFonts w:eastAsia="Times New Roman"/>
          <w:bCs/>
        </w:rPr>
        <w:fldChar w:fldCharType="end"/>
      </w:r>
      <w:bookmarkEnd w:id="15"/>
      <w:r>
        <w:rPr>
          <w:bCs/>
        </w:rPr>
        <w:t>.</w:t>
      </w:r>
      <w:r>
        <w:t xml:space="preserve"> Therefore, nursing care for post-operative patients must include pain management as a key component. In order to provide and sustain comfort during the recovery phase, pain reduction is a goal</w:t>
      </w:r>
      <w:r>
        <w:rPr>
          <w:shd w:val="clear" w:color="auto" w:fill="FFFFFF"/>
        </w:rPr>
        <w:fldChar w:fldCharType="begin" w:fldLock="1"/>
      </w:r>
      <w:r>
        <w:rPr>
          <w:shd w:val="clear" w:color="auto" w:fill="FFFFFF"/>
        </w:rPr>
        <w:instrText xml:space="preserve">ADDIN CSL_CITATION {"citationItems":[{"id":"ITEM-1","itemData":{"ISBN":"9789185835799","abstract":"Background: Pain is a common postoperative experience. Guidelines recommend performing regular pain assessments, which include self-rated pain and additional communication to capture patients' experiences. During\r\nhospitalisation, pain intensity is found to be a vital factor influencing other aspects of an early physical recovery, and is consequently an important item in questionnaires for recovery. These tools consist of extensive\r\nquestionnaires which are difficult to use in everyday clinical work. A simplified method of monitoring postoperative recovery would benefit both patients and healthcare professionals.\r\nAim: The overall aim of this thesis was twofold: (A) to determine the ability of extending the use of pain ratings to reflect and predict early physical postoperative recovery and (B) to describe patients’ perspectives on pain\r\nassessments \r\nMethods: The studies were carried out at one (I), three (IV) and four hospitals (II, III) involving general surgical and orthopaedic inpatients. Two\r\nquantitative methods were used based on data from questionnaires and medical records. They consisted of one cross-sectional study (I) and one study with repeated measures (IV). An association was sought between pain\r\nintensity and postoperative recovery on days 1 and 2 (I, IV), and prehospital data (IV). Two qualitative methods were used involving a\r\nphenomenographic (III) approach and Critical Incident Technique (IV), where semi-structured interviews were performed postoperatively and\r\nanalysed inductively in accordance with the approach.\r\nResults: An association was found between moderate/severe average pain\r\nintensity compiled from monitoring records and impact on early physical\r\npostoperative recovery on day 1 (I). Retrospective average pain intensity at\r\nrest and during activity reflected impact on recovery on postoperative day 1\r\n(IV). Severe pain intensity at rest and during activity on postoperative day 1\r\npredicted impact on physical recovery items on day 2 (IV).\r\nThe use of the Numeric Rating Scale (NRS 0-10) was considered to facilitate\r\ncommunication about pain, but to involve difficulties of interpretation and\r\nplace demand on healthcare professionals and care routines (II). Patients’\r\ndescriptions of their experiences when in need of describing pain indicated\r\ntwo main areas: patients’ resources when needing to describe pain and ward\r\nresources for performing pain assessments (III). Descriptions of their actions when they were in pain indicated …","author":[{"dropping-particle":"","family":"Eriksson","given":"Kerstin","non-dropping-particle":"","parse-names":false,"suffix":""}],"id":"ITEM-1","issue":"080","issued":{"date-parts":[["2017"]]},"number-of-pages":"76","title":"Postoperative pain assessment and impact of pain on early physical recovery, from the patients' perspective","type":"book"},"uris":["http://www.mendeley.com/documents/?uuid=61cd614e-f2a6-4dc7-ac09-1117d5928423"]}],"mendeley":{"formattedCitation":"(Eriksson, 2017)","plainTextFormattedCitation":"(Eriksson, 2017)","previouslyFormattedCitation":"(Eriksson, 2017)"},"properties":{"noteIndex":0},"schema":"https://github.com/citation-style-language/schema/raw/master/csl-citation.json"}</w:instrText>
      </w:r>
      <w:r>
        <w:rPr>
          <w:shd w:val="clear" w:color="auto" w:fill="FFFFFF"/>
        </w:rPr>
        <w:fldChar w:fldCharType="separate"/>
      </w:r>
      <w:r>
        <w:rPr>
          <w:shd w:val="clear" w:color="auto" w:fill="FFFFFF"/>
        </w:rPr>
        <w:t xml:space="preserve">(Eriksson, 2017 </w:t>
      </w:r>
      <w:r>
        <w:rPr>
          <w:shd w:val="clear" w:color="auto" w:fill="FFFFFF"/>
        </w:rPr>
        <w:fldChar w:fldCharType="end"/>
      </w:r>
      <w:r>
        <w:rPr>
          <w:shd w:val="clear" w:color="auto" w:fill="FFFFFF"/>
        </w:rPr>
        <w:t xml:space="preserve">; Timby &amp; Smith, 2018) </w:t>
      </w:r>
      <w:r>
        <w:rPr>
          <w:b/>
        </w:rPr>
        <w:t>.</w:t>
      </w:r>
      <w:r>
        <w:t xml:space="preserve"> </w:t>
      </w:r>
      <w:r>
        <w:rPr>
          <w:shd w:val="clear" w:color="auto" w:fill="FFFFFF"/>
        </w:rPr>
        <w:t xml:space="preserve">Several pain management strategies are in place to promote postoperative pain management such as pharmacological measures, non-pharmacological measures, and </w:t>
      </w:r>
      <w:bookmarkStart w:id="16" w:name="_Hlk97882943"/>
      <w:r>
        <w:rPr>
          <w:shd w:val="clear" w:color="auto" w:fill="FFFFFF"/>
        </w:rPr>
        <w:t>assessment to make the pain visible so that it can be managed appropriately</w:t>
      </w:r>
      <w:bookmarkEnd w:id="16"/>
      <w:r>
        <w:rPr>
          <w:shd w:val="clear" w:color="auto" w:fill="FFFFFF"/>
        </w:rPr>
        <w:t xml:space="preserve">. </w:t>
      </w:r>
    </w:p>
    <w:p>
      <w:pPr>
        <w:pStyle w:val="24"/>
        <w:tabs>
          <w:tab w:val="left" w:pos="9360"/>
        </w:tabs>
        <w:autoSpaceDE w:val="0"/>
        <w:autoSpaceDN w:val="0"/>
        <w:adjustRightInd w:val="0"/>
        <w:spacing w:before="100" w:beforeAutospacing="1" w:after="100" w:afterAutospacing="1" w:line="480" w:lineRule="auto"/>
        <w:ind w:left="90" w:firstLine="720"/>
        <w:jc w:val="both"/>
        <w:rPr>
          <w:shd w:val="clear" w:color="auto" w:fill="FFFFFF"/>
        </w:rPr>
      </w:pPr>
      <w:r>
        <w:t>The pharmacological measures involve the use of prescribed drugs and their effects in the management of postoperative pain. Opioids such as morphine or pethidine injections are commonly used analgesics administered every 6 to 8 hours respectively regardless of the pain level. Nonpharmacological measures are science-based and non- invasive interventions that do not involve medication in preventing and managing pain. These include physical exercises like ambulation, positioning and turning in bed, music, imagery, and massage among others. The non-pharmacological measures help to minimize both the perception and sensation of postoperative pain</w:t>
      </w:r>
      <w:r>
        <w:rPr>
          <w:color w:val="333333"/>
          <w:shd w:val="clear" w:color="auto" w:fill="FFFFFF"/>
        </w:rPr>
        <w:t xml:space="preserve"> </w:t>
      </w:r>
      <w:r>
        <w:rPr>
          <w:bCs/>
        </w:rPr>
        <w:fldChar w:fldCharType="begin" w:fldLock="1"/>
      </w:r>
      <w:r>
        <w:rPr>
          <w:bCs/>
        </w:rPr>
        <w:instrText xml:space="preserve">ADDIN CSL_CITATION {"citationItems":[{"id":"ITEM-1","itemData":{"DOI":"10.1186/s12912-020-00492-0","ISSN":"14726955","abstract":"Background: Pharmacological methods are widely used for postoperative pain management however, poorly controlled pain continues to pose a significant challenge. Non pharmacological methods could contribute to the unresolved postoperative pain management in assisting nurses’ routine care and reducing the need for medication. This study aimed to assess nurses’ utilization of non-pharmacological methods in postoperative pain and the perceived barriers for their implementation at the National Hospitals. Methods: This was a descriptive cross sectional study conducted among 154 nurses working at the National Referral Hospitals and Sembel Private Hospital. A standardized five-point Likert-scale questionnaire which assesses nurses’ utilization of selected non-pharmacological methods and the perceived barriers for the implementation was used to collect data. Descriptive statistics for the demographic data, independent samples t-test, one way ANOVA and factorial ANOVA were used to analyze the data. Statistical significance level was set at P &lt; 0.05. Results: The study found out that emotional support (45.5%), helping with daily activities (67.5%) and creating a comfortable environment (61%) were mostly used while, cognitive-behavioral (5.9%) and physical methods (5.8%) were hardly used. The results also showed that, characteristics such as, age (p = 0.013), level of education (p = 0.012), work experience (p = 0.001) and place of work (p = 0.001), were significantly related to the use of non-pharmacological methods at bivariate level. However, hospitals were the only determinants of the non-pharmacological methods at multivariable level with a statistical significance of (p &lt; 0.001). On the perceived barriers; heavy work load (87.7%), shortage of time (84.4%), limited resources (82.5%), deficit in the guidelines for pain management (77.3%), patient’s uncooperative behavior (57.1%), language difference (64.4%), nurse’s lack of knowledge (50%) and experience (40.3%) were identified. Conclusion: The use of non-pharmacological methods in the studied hospitals varied greatly due to knowledge and experience of the nurses. Therefore, it is recommended that exposure and training for all health care providers at all level is a paramount importance in order to appreciate the benefits of non-pharmacological methods applicable to postoperative pain management. This could be achieved through on job training, seminars, scientific conferences and other brainstorming forums.","author":[{"dropping-particle":"","family":"Kidanemariam","given":"Betiel Yihdego","non-dropping-particle":"","parse-names":false,"suffix":""},{"dropping-particle":"","family":"Elsholz","given":"Traudl","non-dropping-particle":"","parse-names":false,"suffix":""},{"dropping-particle":"","family":"Simel","given":"Laban L.","non-dropping-particle":"","parse-names":false,"suffix":""},{"dropping-particle":"","family":"Tesfamariam","given":"Eyasu H.","non-dropping-particle":"","parse-names":false,"suffix":""},{"dropping-particle":"","family":"Andemeskel","given":"Yonatan Mehari","non-dropping-particle":"","parse-names":false,"suffix":""}],"container-title":"BMC Nursing","id":"ITEM-1","issue":"1","issued":{"date-parts":[["2020"]]},"page":"1-10","publisher":"BMC Nursing","title":"Utilization of non-pharmacological methods and the perceived barriers for adult postoperative pain management by the nurses at selected National Hospitals in Asmara, Eritrea","type":"article-journal","volume":"19"},"uris":["http://www.mendeley.com/documents/?uuid=b0fa6a4a-3135-42ba-af65-d06d93e05fa0"]}],"mendeley":{"formattedCitation":"(Kidanemariam et al., 2020)","plainTextFormattedCitation":"(Kidanemariam et al., 2020)","previouslyFormattedCitation":"(Kidanemariam et al., 2020)"},"properties":{"noteIndex":0},"schema":"https://github.com/citation-style-language/schema/raw/master/csl-citation.json"}</w:instrText>
      </w:r>
      <w:r>
        <w:rPr>
          <w:bCs/>
        </w:rPr>
        <w:fldChar w:fldCharType="separate"/>
      </w:r>
      <w:r>
        <w:rPr>
          <w:bCs/>
        </w:rPr>
        <w:t>(Kidanemariam et al., 2020;</w:t>
      </w:r>
      <w:r>
        <w:rPr>
          <w:bCs/>
        </w:rPr>
        <w:fldChar w:fldCharType="end"/>
      </w:r>
      <w:r>
        <w:rPr>
          <w:bCs/>
        </w:rPr>
        <w:t xml:space="preserve"> </w:t>
      </w:r>
      <w:r>
        <w:rPr>
          <w:bCs/>
          <w:shd w:val="clear" w:color="auto" w:fill="FFFFFF"/>
        </w:rPr>
        <w:fldChar w:fldCharType="begin" w:fldLock="1"/>
      </w:r>
      <w:r>
        <w:rPr>
          <w:bCs/>
          <w:shd w:val="clear" w:color="auto" w:fill="FFFFFF"/>
        </w:rPr>
        <w:instrText xml:space="preserve">ADDIN CSL_CITATION {"citationItems":[{"id":"ITEM-1","itemData":{"DOI":"10.5812/aapm.84674","ISSN":"22287531","abstract":"Background: Non-pharmacological methods (NPMs) like cold packs, acupuncture, meditation or distractions are supposed to ease acute post-surgical pain. Objectives: This study assessed how frequently these methods are used in clinical routine and if their use is associated with pain relief or with the wish for more pain treatment. Methods: Data from the world’s largest acute post-operative pain registry, PAIN OUT, was used for this study. In PAIN OUT, patients report their pain levels and side effects related to pain therapy after surgery. Overall, 15 different NPMs were tested for their association with pain relief and the wish for more pain treatment using Mann-Whitney U test, Kruskal-Wallis test, General Linear Model, and Logistic Regression. The researchers adjusted for age and gender, and specifically looked at the three most frequent surgeries: total knee replacement, total hip replacement, and laparoscopic cholecystectomy. Results: Data of 14 767 patients from 12 European hospitals were analyzed. Overall, 6563 (44.4%) patients used at least one NPM; with distraction and cold packs being the most frequently used. The 8204 (55.6%) patients, who did not use NPMs had little yet significantly more pain relief than patients, who used them (means of 71.2% ±27.9% versus 68.6% ±25.7%, P &lt; 0.001). Using NPMs does not affect the wish for more pain treatment. This is true for every single NPM. The only exceptional sub-group included total knee replacement patients, where a positive effect of NPMs was observed. Conclusions: Some NPMs are widely used while others are rarely applied. Their association with pain relief is doubtful. These findings add to a rather contradictory literature. Advantages and disadvantages of applying NPMs solely for pain relief should thus be considered carefully.","author":[{"dropping-particle":"","family":"Komann","given":"Marcus","non-dropping-particle":"","parse-names":false,"suffix":""},{"dropping-particle":"","family":"Weinmann","given":"Claudia","non-dropping-particle":"","parse-names":false,"suffix":""},{"dropping-particle":"","family":"Schwenkglenks","given":"Matthias","non-dropping-particle":"","parse-names":false,"suffix":""},{"dropping-particle":"","family":"Meissner","given":"Winfried","non-dropping-particle":"","parse-names":false,"suffix":""}],"container-title":"Anesthesiology and Pain Medicine","id":"ITEM-1","issue":"2","issued":{"date-parts":[["2019"]]},"page":"1-7","title":"Non-pharmacological methods and post-operative pain relief: An observational study","type":"article-journal","volume":"9"},"uris":["http://www.mendeley.com/documents/?uuid=3fdcf270-ab96-46e0-a9cc-6048b35ffc7a"]}],"mendeley":{"formattedCitation":"(Komann et al., 2019)","manualFormatting":"(Komann, Weinmann, Schenkglenks, &amp; Meissner, 2019)","plainTextFormattedCitation":"(Komann et al., 2019)","previouslyFormattedCitation":"(Komann et al., 2019)"},"properties":{"noteIndex":0},"schema":"https://github.com/citation-style-language/schema/raw/master/csl-citation.json"}</w:instrText>
      </w:r>
      <w:r>
        <w:rPr>
          <w:bCs/>
          <w:shd w:val="clear" w:color="auto" w:fill="FFFFFF"/>
        </w:rPr>
        <w:fldChar w:fldCharType="separate"/>
      </w:r>
      <w:r>
        <w:rPr>
          <w:bCs/>
          <w:shd w:val="clear" w:color="auto" w:fill="FFFFFF"/>
        </w:rPr>
        <w:t>Komann, Weinmann, Schenkglenks, &amp; Meissner, 2019)</w:t>
      </w:r>
      <w:r>
        <w:rPr>
          <w:bCs/>
          <w:shd w:val="clear" w:color="auto" w:fill="FFFFFF"/>
        </w:rPr>
        <w:fldChar w:fldCharType="end"/>
      </w:r>
      <w:r>
        <w:rPr>
          <w:bCs/>
          <w:shd w:val="clear" w:color="auto" w:fill="FFFFFF"/>
        </w:rPr>
        <w:t xml:space="preserve">. </w:t>
      </w:r>
      <w:r>
        <w:rPr>
          <w:bCs/>
          <w:shd w:val="clear" w:color="auto" w:fill="FFFFFF"/>
        </w:rPr>
        <w:fldChar w:fldCharType="begin" w:fldLock="1"/>
      </w:r>
      <w:r>
        <w:rPr>
          <w:bCs/>
          <w:shd w:val="clear" w:color="auto" w:fill="FFFFFF"/>
        </w:rPr>
        <w:instrText xml:space="preserve">ADDIN CSL_CITATION {"citationItems":[{"id":"ITEM-1","itemData":{"DOI":"10.3892/etm.2020.9163","ISSN":"1792-0981","PMID":"32952627","abstract":"The purpose of the present review was to evaluate the available evidence on the efficacy of various non-pharmacological interventions to relieve pain after orthopedic surgical procedures. An electronic search of the PubMed, Embase and Cochrane library databases was performed to retrieve studies of all types assessing the role of non-pharmacological interventions for pain relief after orthopedic surgical procedures. The included studies were required to assess pain outcomes using a validated measurement index, such as the Visual Analog Scale. The quality of randomized control trials (RCTs) was assessed using the Cochrane tool, while the ROBINS-I tool was used for non-RCTs. A total of five studies were included, namely three RCTs and two non-RCTs. The included studies used relaxation therapy, guided imagery, music and audio-visual distraction for pain management. There was considerable heterogeneity concerning study participants and types of intervention, which precluded a meta-analysis. Overall, all studies reported a significant beneficial effect of non-pharmacological interventions for pain relief. To conclude, current evidence from a limited number of studies indicates there may be a potential role of non-pharmacological interventions, including relaxation therapy, guided imagery, music and audio-visual distraction, in pain management of patients after orthopedic surgery. Owing to considerable heterogeneity and risk of bias in the included studies, strong conclusions cannot be drawn. Further high-quality RCTs assessing the role of such non-pharmacological techniques of pain management are required to strengthen the current evidence.","author":[{"dropping-particle":"","family":"Fan","given":"Meifen","non-dropping-particle":"","parse-names":false,"suffix":""},{"dropping-particle":"","family":"Chen","given":"Zheying","non-dropping-particle":"","parse-names":false,"suffix":""}],"container-title":"Experimental and Therapeutic Medicine","id":"ITEM-1","issue":"5","issued":{"date-parts":[["2020"]]},"page":"1-1","title":"A systematic review of non‑pharmacological interventions used for pain relief after orthopedic surgical procedures","type":"article-journal","volume":"20"},"uris":["http://www.mendeley.com/documents/?uuid=22a3f518-663a-4db4-9b2c-62e2a294b2e8"]}],"mendeley":{"formattedCitation":"(Fan &amp; Chen, 2020)","manualFormatting":"Fan and Chen (2020)","plainTextFormattedCitation":"(Fan &amp; Chen, 2020)","previouslyFormattedCitation":"(Fan &amp; Chen, 2020)"},"properties":{"noteIndex":0},"schema":"https://github.com/citation-style-language/schema/raw/master/csl-citation.json"}</w:instrText>
      </w:r>
      <w:r>
        <w:rPr>
          <w:bCs/>
          <w:shd w:val="clear" w:color="auto" w:fill="FFFFFF"/>
        </w:rPr>
        <w:fldChar w:fldCharType="separate"/>
      </w:r>
      <w:r>
        <w:rPr>
          <w:bCs/>
          <w:shd w:val="clear" w:color="auto" w:fill="FFFFFF"/>
        </w:rPr>
        <w:t>Fan and Chen (2020)</w:t>
      </w:r>
      <w:r>
        <w:rPr>
          <w:bCs/>
          <w:shd w:val="clear" w:color="auto" w:fill="FFFFFF"/>
        </w:rPr>
        <w:fldChar w:fldCharType="end"/>
      </w:r>
      <w:r>
        <w:rPr>
          <w:bCs/>
          <w:shd w:val="clear" w:color="auto" w:fill="FFFFFF"/>
        </w:rPr>
        <w:t>,</w:t>
      </w:r>
      <w:r>
        <w:rPr>
          <w:shd w:val="clear" w:color="auto" w:fill="FFFFFF"/>
        </w:rPr>
        <w:t xml:space="preserve"> did a systematic review to assess the evidence on the effectiveness of different non-pharmacological therapies for pain management used following orthopedic surgical procedures, such as relaxation therapy, guided imagery, music, and audio-visual distraction. Despite all the interventions done, no evidence was done after the assessment of pain intensity. </w:t>
      </w:r>
    </w:p>
    <w:p>
      <w:pPr>
        <w:tabs>
          <w:tab w:val="left" w:pos="9360"/>
        </w:tabs>
        <w:autoSpaceDE w:val="0"/>
        <w:autoSpaceDN w:val="0"/>
        <w:adjustRightInd w:val="0"/>
        <w:spacing w:before="100" w:beforeAutospacing="1" w:after="100" w:afterAutospacing="1" w:line="480" w:lineRule="auto"/>
        <w:ind w:left="90" w:firstLine="720"/>
        <w:jc w:val="both"/>
        <w:rPr>
          <w:rFonts w:ascii="Times New Roman" w:hAnsi="Times New Roman" w:eastAsia="Times New Roman" w:cs="Times New Roman"/>
          <w:color w:val="212121"/>
          <w:sz w:val="24"/>
          <w:szCs w:val="24"/>
        </w:rPr>
      </w:pPr>
      <w:r>
        <w:rPr>
          <w:rFonts w:ascii="Times New Roman" w:hAnsi="Times New Roman" w:cs="Times New Roman"/>
          <w:sz w:val="24"/>
          <w:szCs w:val="24"/>
          <w:shd w:val="clear" w:color="auto" w:fill="FFFFFF"/>
        </w:rPr>
        <w:t xml:space="preserve">In addition, pain assessment is a cornerstone in postoperative pain management. </w:t>
      </w:r>
      <w:bookmarkStart w:id="17" w:name="_Hlk98764130"/>
      <w:r>
        <w:rPr>
          <w:rFonts w:ascii="Times New Roman" w:hAnsi="Times New Roman" w:cs="Times New Roman"/>
          <w:bCs/>
          <w:sz w:val="24"/>
          <w:szCs w:val="24"/>
        </w:rPr>
        <w:t>The character, length, intensity, location, and impact of pain on a person's capacity to function are determined through pain assessment</w:t>
      </w:r>
      <w:r>
        <w:rPr>
          <w:rFonts w:ascii="Times New Roman" w:hAnsi="Times New Roman" w:eastAsia="Times New Roman" w:cs="Times New Roman"/>
          <w:bCs/>
          <w:sz w:val="24"/>
          <w:szCs w:val="24"/>
        </w:rPr>
        <w:fldChar w:fldCharType="begin" w:fldLock="1"/>
      </w:r>
      <w:r>
        <w:rPr>
          <w:rFonts w:ascii="Times New Roman" w:hAnsi="Times New Roman" w:eastAsia="Times New Roman" w:cs="Times New Roman"/>
          <w:bCs/>
          <w:sz w:val="24"/>
          <w:szCs w:val="24"/>
        </w:rPr>
        <w:instrText xml:space="preserve">ADDIN CSL_CITATION {"citationItems":[{"id":"ITEM-1","itemData":{"DOI":"10.17712/nsj.2015.2.20140546","ISSN":"13196138","PMID":"25864065","abstract":"Objective: To present data on knowledge and attitudes toward pain assessment among health care providers in Almadinah Almunawwarah, Saudi Arabia. Methods: This exploratory study required at least 100 participants to attain an effect size of 0.2 or larger. A convenience sample was recruited from the major hospitals in Almadinah Almunawwarah, Saudi Arabia; King Fahad Hospital, Ohud Hospital, Alansar Hospital, Almeqat Hospital, and the Maternity Hospital. Data collection occurred between January and April 2014. Knowledge of pain assessment was examined by administering the Knowledge and Attitudes Survey Regarding Pain. Results: Data from 105 participants was collected. Seventy-three participants scored 44% or below (69.5%), and 32 participants scored 45% and above (30.5%). Additionally, only 6 participants (5.7%) scored above 60%. There were significant differences between male and female scores (p=0.05), physicians’ and nurses’ scores (p=0.001), and level of education (p=0.009). There were no significant differences in the passing scores across means of nationality, the department where participants worked, years of experience, and age of participants. Conclusion: There is a deficit in pain assessment knowledge, and pain management in the study group. Continuous education on pain assessment is required to increase the health care providers’ knowledge, and enhance their practices regarding pain assessment and treatment.","author":[{"dropping-particle":"","family":"Al-Quliti","given":"Khalid W.","non-dropping-particle":"","parse-names":false,"suffix":""},{"dropping-particle":"","family":"Alamri","given":"Majed S.","non-dropping-particle":"","parse-names":false,"suffix":""}],"container-title":"Neurosciences","id":"ITEM-1","issue":"2","issued":{"date-parts":[["2015"]]},"page":"131-136","title":"Knowledge, attitudes, and practices of health care providers in Almadinah Almunawwarah, Saudi Arabia","type":"article-journal","volume":"20"},"uris":["http://www.mendeley.com/documents/?uuid=2230e7ec-ed87-4711-985e-53a4e8b1e266"]}],"mendeley":{"formattedCitation":"(Al-Quliti &amp; Alamri, 2015)","plainTextFormattedCitation":"(Al-Quliti &amp; Alamri, 2015)","previouslyFormattedCitation":"(Al-Quliti &amp; Alamri, 2015)"},"properties":{"noteIndex":0},"schema":"https://github.com/citation-style-language/schema/raw/master/csl-citation.json"}</w:instrText>
      </w:r>
      <w:r>
        <w:rPr>
          <w:rFonts w:ascii="Times New Roman" w:hAnsi="Times New Roman" w:eastAsia="Times New Roman" w:cs="Times New Roman"/>
          <w:bCs/>
          <w:sz w:val="24"/>
          <w:szCs w:val="24"/>
        </w:rPr>
        <w:fldChar w:fldCharType="separate"/>
      </w:r>
      <w:r>
        <w:rPr>
          <w:rFonts w:ascii="Times New Roman" w:hAnsi="Times New Roman" w:eastAsia="Times New Roman" w:cs="Times New Roman"/>
          <w:bCs/>
          <w:sz w:val="24"/>
          <w:szCs w:val="24"/>
        </w:rPr>
        <w:t>(Al-Quliti &amp; Alamri, 2015</w:t>
      </w:r>
      <w:r>
        <w:rPr>
          <w:rFonts w:ascii="Times New Roman" w:hAnsi="Times New Roman" w:eastAsia="Times New Roman" w:cs="Times New Roman"/>
          <w:bCs/>
          <w:sz w:val="24"/>
          <w:szCs w:val="24"/>
        </w:rPr>
        <w:fldChar w:fldCharType="end"/>
      </w:r>
      <w:r>
        <w:rPr>
          <w:rFonts w:ascii="Times New Roman" w:hAnsi="Times New Roman" w:eastAsia="Times New Roman" w:cs="Times New Roman"/>
          <w:bCs/>
          <w:sz w:val="24"/>
          <w:szCs w:val="24"/>
        </w:rPr>
        <w:t>;</w:t>
      </w:r>
      <w:r>
        <w:rPr>
          <w:rFonts w:ascii="Times New Roman" w:hAnsi="Times New Roman" w:eastAsia="Times New Roman" w:cs="Times New Roman"/>
          <w:bCs/>
          <w:sz w:val="24"/>
          <w:szCs w:val="24"/>
        </w:rPr>
        <w:fldChar w:fldCharType="begin" w:fldLock="1"/>
      </w:r>
      <w:r>
        <w:rPr>
          <w:rFonts w:ascii="Times New Roman" w:hAnsi="Times New Roman" w:eastAsia="Times New Roman" w:cs="Times New Roman"/>
          <w:bCs/>
          <w:sz w:val="24"/>
          <w:szCs w:val="24"/>
        </w:rPr>
        <w:instrText xml:space="preserve">ADDIN CSL_CITATION {"citationItems":[{"id":"ITEM-1","itemData":{"DOI":"10.1093/bja/aew466","ISSN":"14716771","PMID":"28186223","abstract":"Background. The 100mmvisual analog scale (VAS) score is widely used to measure pain intensity after surgery. Despite this widespread use, it is unclear what constitutes the minimal clinically important difference (MCID); that is, what minimal change in score would indicate a meaningful change in a patient's pain status. Methods. We enrolled a sequential, unselected cohort of patients recovering from surgery and used a VAS to quantify pain intensity. We compared changes in the VAS with a global rating-of-change questionnaire using an anchor-based method and three distribution-based methods (0.3 SD, standard error of the measurement, and 5% range). We then averaged the change estimates to determine the MCID for the pain VAS. The patient acceptable symptom state (PASS) was defined as the 25th centile of the VAS corresponding to a positive patient response to having made a good recovery from surgery. Results. We enrolled 224 patients at the first postoperative visit, and 219 of these were available for a second interview. The VAS scores improved significantly between the first two interviews. Triangulation of distribution and anchor-based methods resulted in an MCID of 9.9 for the pain VAS, and a PASS of 33. Conclusions. Analgesic interventions that provide a change of 10 for the 100mmpain VAS signify a clinically important improvement or deterioration, and a VAS of 33 or less signifies acceptable pain control (i.e. a responder), after surgery.","author":[{"dropping-particle":"","family":"Myles","given":"P. S.","non-dropping-particle":"","parse-names":false,"suffix":""},{"dropping-particle":"","family":"Myles","given":"D. B.","non-dropping-particle":"","parse-names":false,"suffix":""},{"dropping-particle":"","family":"Galagher","given":"W.","non-dropping-particle":"","parse-names":false,"suffix":""},{"dropping-particle":"","family":"Boyd","given":"D.","non-dropping-particle":"","parse-names":false,"suffix":""},{"dropping-particle":"","family":"Chew","given":"C.","non-dropping-particle":"","parse-names":false,"suffix":""},{"dropping-particle":"","family":"MacDonald","given":"N.","non-dropping-particle":"","parse-names":false,"suffix":""},{"dropping-particle":"","family":"Dennis","given":"A.","non-dropping-particle":"","parse-names":false,"suffix":""}],"container-title":"British Journal of Anaesthesia","id":"ITEM-1","issue":"3","issued":{"date-parts":[["2017"]]},"page":"424-429","publisher":"The Author(s)","title":"Measuring acute postoperative pain using the visual analog scale: The minimal clinically important difference and patient acceptable symptom state","type":"article-journal","volume":"118"},"uris":["http://www.mendeley.com/documents/?uuid=e9868862-f2c8-49aa-908e-50102e707a34"]}],"mendeley":{"formattedCitation":"(Myles et al., 2017)","plainTextFormattedCitation":"(Myles et al., 2017)","previouslyFormattedCitation":"(Myles et al., 2017)"},"properties":{"noteIndex":0},"schema":"https://github.com/citation-style-language/schema/raw/master/csl-citation.json"}</w:instrText>
      </w:r>
      <w:r>
        <w:rPr>
          <w:rFonts w:ascii="Times New Roman" w:hAnsi="Times New Roman" w:eastAsia="Times New Roman" w:cs="Times New Roman"/>
          <w:bCs/>
          <w:sz w:val="24"/>
          <w:szCs w:val="24"/>
        </w:rPr>
        <w:fldChar w:fldCharType="separate"/>
      </w:r>
      <w:r>
        <w:rPr>
          <w:rFonts w:ascii="Times New Roman" w:hAnsi="Times New Roman" w:eastAsia="Times New Roman" w:cs="Times New Roman"/>
          <w:bCs/>
          <w:sz w:val="24"/>
          <w:szCs w:val="24"/>
        </w:rPr>
        <w:t xml:space="preserve"> Myles et al., 2017)</w:t>
      </w:r>
      <w:r>
        <w:rPr>
          <w:rFonts w:ascii="Times New Roman" w:hAnsi="Times New Roman" w:eastAsia="Times New Roman" w:cs="Times New Roman"/>
          <w:bCs/>
          <w:sz w:val="24"/>
          <w:szCs w:val="24"/>
        </w:rPr>
        <w:fldChar w:fldCharType="end"/>
      </w:r>
      <w:r>
        <w:rPr>
          <w:rFonts w:ascii="Times New Roman" w:hAnsi="Times New Roman" w:cs="Times New Roman"/>
          <w:bCs/>
          <w:sz w:val="24"/>
          <w:szCs w:val="24"/>
          <w:shd w:val="clear" w:color="auto" w:fill="FFFFFF"/>
        </w:rPr>
        <w:t>.</w:t>
      </w:r>
      <w:r>
        <w:rPr>
          <w:rFonts w:ascii="Times New Roman" w:hAnsi="Times New Roman" w:cs="Times New Roman"/>
          <w:bCs/>
          <w:sz w:val="24"/>
          <w:szCs w:val="24"/>
        </w:rPr>
        <w:t xml:space="preserve"> Pain is subjective and therefore varies from one individual to another. </w:t>
      </w:r>
      <w:r>
        <w:rPr>
          <w:rFonts w:ascii="Times New Roman" w:hAnsi="Times New Roman" w:cs="Times New Roman"/>
          <w:sz w:val="24"/>
          <w:szCs w:val="24"/>
        </w:rPr>
        <w:t xml:space="preserve">Pain assessment is carried out to help make </w:t>
      </w:r>
      <w:r>
        <w:rPr>
          <w:rFonts w:ascii="Times New Roman" w:hAnsi="Times New Roman" w:cs="Times New Roman"/>
          <w:bCs/>
          <w:sz w:val="24"/>
          <w:szCs w:val="24"/>
        </w:rPr>
        <w:t xml:space="preserve">pain evident for patients who for some reason may be culturally bound not to reflect pain. Determining its characteristics is so crucial because it may lead to a change in the treatment approaches </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{"citationItems":[{"id":"ITEM-1","itemData":{"DOI":"10.1177/2158244020924377","ISSN":"21582440","abstract":"The aim of the study was to investigate surgical patients’ pain experience and the quality of nursing care in managing acute postoperative pain. A descriptive cross-sectional study using a Strategic and Clinical Quality Indicators in Postoperative Pain Management Questionnaire collected data of 247 patients who underwent surgery in the surgical clinics of a state hospital. Data of 141 patients were included in the analysis. The mean scores for the scale items indicated that the quality of care was acceptable or low. The level of postoperative care, nursing interventions, and environmental subscales of the questionnaire were at an acceptable level, but pain management subscales of the questionnaire were low. These results suggest that health care, including measurable, applicable quality indicators, should be planned and evaluated to maintain professional nursing services, to achieve postoperative pain management and to relieve pain.","author":[{"dropping-particle":"","family":"Köse Tamer","given":"Laika","non-dropping-particle":"","parse-names":false,"suffix":""},{"dropping-particle":"","family":"Sucu Dağ","given":"Gülten","non-dropping-particle":"","parse-names":false,"suffix":""}],"container-title":"SAGE Open","id":"ITEM-1","issue":"2","issued":{"date-parts":[["2020"]]},"title":"The Assessment of Pain and the Quality of Postoperative Pain Management in Surgical Patients","type":"article-journal","volume":"10"},"uris":["http://www.mendeley.com/documents/?uuid=c13e2329-77dd-4ebb-af40-7472ac047451"]}],"mendeley":{"formattedCitation":"(Köse Tamer &amp; Sucu Dağ, 2020)","plainTextFormattedCitation":"(Köse Tamer &amp; Sucu Dağ, 2020)","previouslyFormattedCitation":"(Köse Tamer &amp; Sucu Dağ, 2020)"},"properties":{"noteIndex":0},"schema":"https://github.com/citation-style-language/schema/raw/master/csl-citation.json"}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(Köse Tamer &amp; Sucu Dağ, 2020)</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w:t>
      </w:r>
      <w:r>
        <w:rPr>
          <w:rFonts w:ascii="Times New Roman" w:hAnsi="Times New Roman" w:cs="Times New Roman"/>
          <w:bCs/>
          <w:sz w:val="24"/>
          <w:szCs w:val="24"/>
          <w:shd w:val="clear" w:color="auto" w:fill="FFFFFF"/>
        </w:rPr>
        <w:t xml:space="preserve">The principles of pain assessment involve history and physical, functional, and </w:t>
      </w:r>
      <w:r>
        <w:rPr>
          <w:rFonts w:ascii="Times New Roman" w:hAnsi="Times New Roman" w:cs="Times New Roman"/>
          <w:sz w:val="24"/>
          <w:szCs w:val="24"/>
          <w:shd w:val="clear" w:color="auto" w:fill="FFFFFF"/>
        </w:rPr>
        <w:t xml:space="preserve">psychosocial assessment. However, to assess postoperative pain, WHO recommends the use of pain assessment scales such as visual analog and numerical rating scales for adults. It’s the nurse’s responsibility to carryout regular assessments for pain intensity and the effect of intervention during post-operative pain management </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{"citationItems":[{"id":"ITEM-1","itemData":{"DOI":"10.15761/BHC.1000148","abstract":"Introduction: Postoperative pain is an unpleasant experience for patients after thoracic surgery. It is known that these types of surgical procedures cause high intensity of pain. Proper nursing assessment of the patients’ pain is critical as for the right decision to be made in terms of offering quality care and support. Aim: The aim of this study was the evaluation of postoperative pain experienced by patients following thoracic surgery and the correlation with demographic characteristics as well as other factors. Methodology: The McGill questionnaire (long form) was used and statistical analysis was performed with SPSS 21. The sample included (n=30) patients that had thoracic surgery. The study took place in a thoracic surgical department of a hospital in Athens, Greece. Results: Patients mean age was 59 years, 73% had higher education qualifications, 66.7% were male and 33.3% were female. In addition, 40% were from islands, 40% urban and 20% suburban areas of Greece. The majority of the sample (70%) were smokers, while 43% were diagnosed with lung cancer. The vast majority of the sample 93.3% had a close chest drain in situ postoperatively, while thoracotomy was performed on 56.66% of the participants. Pain at the incision site was reported by 43.3%, while 90% of the sample reported absence of external pain and 70% felt relieved with the use of medication. The vast majority of the sample (90%) had undergone surgery with general anesthesia and reported less pain than patients who had local analgesia. Interestingly, the progression of the intensity and type of pain experienced by the patient depends on the recovery days after surgery (a reduction was observed the 5th and 6th day), as it illustrated a gradual decrease up to the day the patient was discharged. Conclusion: This study is original in the international literature. There is no recognized tool to measure postoperative pain experienced by patients who have had thoracic surgery. Based on the results of this study we emphasize the necessity for the design and implementation of an appropriate postoperative assessment ques</w:instrText>
      </w:r>
      <w:r>
        <w:rPr>
          <w:rFonts w:ascii="Times New Roman" w:hAnsi="Times New Roman" w:cs="Times New Roman"/>
          <w:bCs/>
          <w:sz w:val="24"/>
          <w:szCs w:val="24"/>
          <w:shd w:val="clear" w:color="auto" w:fill="FFFFFF"/>
          <w:lang w:val="fr-FR"/>
        </w:rPr>
        <w:instrText xml:space="preserve">tionnaire for these patients.","author":[{"dropping-particle":"","family":"N, Bakalis; G, Vescio; M, Chouti; E, Michalopoulou; P, kiekkas; A, Rizzuto; M, Papandrea; G, Sena; A, Barberio; V, Tiesi; D, Gallo; G, Curro; M, Ammendola; S, De Franciscis; N","given":"Filiotis","non-dropping-particle":"","parse-names":false,"suffix":""}],"container-title":"Blood, Heart and Circulation","id":"ITEM-1","issue":"4","issued":{"date-parts":[["2018"]]},"page":"1-7","title":"Nursing assessment of post-operative pain in patients undergoing general (thoracic) surgery","type":"article-journal","volume":"2"},"uris":["http://www.mendeley.com/documents/?uuid=f1b62e7a-c01f-4a4b-8cde-65a08937f8df"]}],"mendeley":{"formattedCitation":"(N, Bakalis; G, Vescio; M, Chouti; E, Michalopoulou; P, kiekkas; A, Rizzuto; M, Papandrea; G, Sena; A, Barberio; V, Tiesi; D, Gallo; G, Curro; M, Ammendola; S, De Franciscis; N, 2018)","manualFormatting":"(Bakalis et al. (2018)","plainTextFormattedCitation":"(N, Bakalis; G, Vescio; M, Chouti; E, Michalopoulou; P, kiekkas; A, Rizzuto; M, Papandrea; G, Sena; A, Barberio; V, Tiesi; D, Gallo; G, Curro; M, Ammendola; S, De Franciscis; N, 2018)","previouslyFormattedCitation":"(N, Bakalis; G, Vescio; M, Chouti; E, Michalopoulou; P, kiekkas; A, Rizzuto; M, Papandrea; G, Sena; A, Barberio; V, Tiesi; D, Gallo; G, Curro; M, Ammendola; S, De Franciscis; N, 2018)"},"properties":{"noteIndex":0},"schema":"https://github.com/citation-style-language/schema/raw/master/csl-citation.json"}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lang w:val="fr-FR"/>
        </w:rPr>
        <w:t>(Bakalis et al. 2018</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lang w:val="fr-FR"/>
        </w:rPr>
        <w:t xml:space="preserve">; </w:t>
      </w:r>
      <w:bookmarkEnd w:id="17"/>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lang w:val="fr-FR"/>
        </w:rPr>
        <w:instrText xml:space="preserve">ADDIN CSL_CITATION {"citationItems":[{"id":"ITEM-1","itemData":{"DOI":"10.1136/qshc.2004.010330","ISSN":"14753898","PMID":"16195565","abstract":"Problem: There is a need to improve postoperative pain organisation and management in hospitals. One of the most important factors in achieving this is to improve active assessment of pain in the postoperative phase. Design: Repeated audits on an annual basis over a 3 year period. Ward nurses, appointed as \"pain control representatives\", performed the data collection. Setting: Departments of general surgery and orthopaedics in a university hospital with 1200 beds. Key measure for improvement: Assessment of postoperative pain intensity using a numerical rating scale. Strategies for change: On the basis of the first audit in 1999 the team decided to introduce a mandatory training programme in postoperative pain management for all involved staff, including surgeons and ward nurses. Guidelines for postoperative care were upgraded and made accessible through the intranet. Regular staff meetings in the surgical wards with representatives from the acute pain service team were introduced. Effects of change: The assessment of pain according to protocols increased from 71% to 91% in the surgical wards and from 60% to 88% in the orthopaedic wards between 1999 and 2001/2. Lessons learnt: To increase the awareness of pain and improve pain assessment, the importance of mandatory training, regular staff meetings and regular audits must be emphasised. It is also imperative to give feedback on the regular audits to the ward and staff members involved.","author":[{"dropping-particle":"","family":"Karlsten","given":"R.","non-dropping-particle":"","parse-names":false,"suffix":""},{"dropping-particle":"","family":"Ström","given":"K.","non-dropping-particle":"","parse-names":false,"suffix":""},{"dropping-particle":"","family":"Gunningberg","given":"L.","non-dropping-particle":"","parse-names":false,"suffix":""}],"container-title":"Quality and Safety in Health Care","id":"ITEM-1","issue":"5","issued":{"date-parts":[["2005"]]},"page":"332-335","title":"Improving assessment of postoperative pain in surgical wards by education and training","type":"article-journal","volume":"14"},"uris":["http://www.mendeley.com/documents/?uuid=28c78536-e8f3-46a2-af46-26e0e5d842a5"]}],"mendeley":{"formattedCitation":"(Karlsten et al., 2005)","manualFormatting":"(Karlsten, Strom &amp; Gunningberg, 2005)","plainTextFormattedCitation":"(Karlsten et al., 2005)","previouslyFormattedCitation":"(Karlsten et al., 2005)"},"properties":{"noteIndex":0},"schema":"https://github.com/citation-style-language/schema/raw/master/csl-citation.json"}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lang w:val="fr-FR"/>
        </w:rPr>
        <w:t>Karlsten, Strom &amp; Gunningberg, 2005)</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lang w:val="fr-FR"/>
        </w:rPr>
        <w:t xml:space="preserve">. </w:t>
      </w:r>
      <w:r>
        <w:rPr>
          <w:rFonts w:ascii="Times New Roman" w:hAnsi="Times New Roman" w:cs="Times New Roman"/>
          <w:bCs/>
          <w:sz w:val="24"/>
          <w:szCs w:val="24"/>
          <w:shd w:val="clear" w:color="auto" w:fill="FFFFFF"/>
        </w:rPr>
        <w:t xml:space="preserve">Several tools exist, that nurses can </w:t>
      </w:r>
      <w:r>
        <w:rPr>
          <w:rFonts w:ascii="Times New Roman" w:hAnsi="Times New Roman" w:cs="Times New Roman"/>
          <w:color w:val="212121"/>
          <w:sz w:val="24"/>
          <w:szCs w:val="24"/>
          <w:shd w:val="clear" w:color="auto" w:fill="FFFFFF"/>
        </w:rPr>
        <w:t xml:space="preserve">use to help measure and better define a person's pain </w:t>
      </w:r>
      <w:r>
        <w:rPr>
          <w:rFonts w:ascii="Times New Roman" w:hAnsi="Times New Roman" w:cs="Times New Roman"/>
          <w:bCs/>
          <w:sz w:val="24"/>
          <w:szCs w:val="24"/>
          <w:shd w:val="clear" w:color="auto" w:fill="FFFFFF"/>
        </w:rPr>
        <w:t>such as v</w:t>
      </w:r>
      <w:r>
        <w:rPr>
          <w:rFonts w:ascii="Times New Roman" w:hAnsi="Times New Roman" w:eastAsia="Times New Roman" w:cs="Times New Roman"/>
          <w:bCs/>
          <w:color w:val="212121"/>
          <w:sz w:val="24"/>
          <w:szCs w:val="24"/>
        </w:rPr>
        <w:t xml:space="preserve">isual analog scales which </w:t>
      </w:r>
      <w:r>
        <w:rPr>
          <w:rFonts w:ascii="Times New Roman" w:hAnsi="Times New Roman" w:eastAsia="Times New Roman" w:cs="Times New Roman"/>
          <w:color w:val="212121"/>
          <w:sz w:val="24"/>
          <w:szCs w:val="24"/>
        </w:rPr>
        <w:t>typically ask a patient to mark a place on a scale that matches their level of pain. Numerical rating scales employ numbers to rate pain, while categorical scales use words as the major means of communication and may additionally use numbers, colors, or relative position</w:t>
      </w:r>
      <w:r>
        <w:rPr>
          <w:rFonts w:ascii="Times New Roman" w:hAnsi="Times New Roman" w:cs="Times New Roman"/>
          <w:bCs/>
          <w:color w:val="212121"/>
          <w:sz w:val="24"/>
          <w:szCs w:val="24"/>
          <w:shd w:val="clear" w:color="auto" w:fill="FFFFFF"/>
        </w:rPr>
        <w:fldChar w:fldCharType="begin" w:fldLock="1"/>
      </w:r>
      <w:r>
        <w:rPr>
          <w:rFonts w:ascii="Times New Roman" w:hAnsi="Times New Roman" w:cs="Times New Roman"/>
          <w:bCs/>
          <w:color w:val="212121"/>
          <w:sz w:val="24"/>
          <w:szCs w:val="24"/>
          <w:shd w:val="clear" w:color="auto" w:fill="FFFFFF"/>
        </w:rPr>
        <w:instrText xml:space="preserve">ADDIN CSL_CITATION {"citationItems":[{"id":"ITEM-1","itemData":{"DOI":"10.17712/nsj.2015.2.20140546","ISSN":"13196138","PMID":"25864065","abstract":"Objective: To present data on knowledge and attitudes toward pain assessment among health care providers in Almadinah Almunawwarah, Saudi Arabia. Methods: This exploratory study required at least 100 participants to attain an effect size of 0.2 or larger. A convenience sample was recruited from the major hospitals in Almadinah Almunawwarah, Saudi Arabia; King Fahad Hospital, Ohud Hospital, Alansar Hospital, Almeqat Hospital, and the Maternity Hospital. Data collection occurred between January and April 2014. Knowledge of pain assessment was examined by administering the Knowledge and Attitudes Survey Regarding Pain. Results: Data from 105 participants was collected. Seventy-three participants scored 44% or below (69.5%), and 32 participants scored 45% and above (30.5%). Additionally, only 6 participants (5.7%) scored above 60%. There were significant differences between male and female scores (p=0.05), physicians’ and nurses’ scores (p=0.001), and level of education (p=0.009). There were no significant differences in the passing scores across means of nationality, the department where participants worked, years of experience, and age of participants. Conclusion: There is a deficit in pain assessment knowledge, and pain management in the study group. Continuous education on pain assessment is required to increase the health care providers’ knowledge, and enhance their practices regarding pain assessment and treatment.","author":[{"dropping-particle":"","family":"Al-Quliti","given":"Khalid W.","non-dropping-particle":"","parse-names":false,"suffix":""},{"dropping-particle":"","family":"Alamri","given":"Majed S.","non-dropping-particle":"","parse-names":false,"suffix":""}],"container-title":"Neurosciences","id":"ITEM-1","issue":"2","issued":{"date-parts":[["2015"]]},"page":"131-136","title":"Knowledge, attitudes, and practices of health care providers in Almadinah Almunawwarah, Saudi Arabia","type":"article-journal","volume":"20"},"uris":["http://www.mendeley.com/documents/?uuid=2230e7ec-ed87-4711-985e-53a4e8b1e266"]}],"mendeley":{"formattedCitation":"(Al-Quliti &amp; Alamri, 2015)","plainTextFormattedCitation":"(Al-Quliti &amp; Alamri, 2015)","previouslyFormattedCitation":"(Al-Quliti &amp; Alamri, 2015)"},"properties":{"noteIndex":0},"schema":"https://github.com/citation-style-language/schema/raw/master/csl-citation.json"}</w:instrText>
      </w:r>
      <w:r>
        <w:rPr>
          <w:rFonts w:ascii="Times New Roman" w:hAnsi="Times New Roman" w:cs="Times New Roman"/>
          <w:bCs/>
          <w:color w:val="212121"/>
          <w:sz w:val="24"/>
          <w:szCs w:val="24"/>
          <w:shd w:val="clear" w:color="auto" w:fill="FFFFFF"/>
        </w:rPr>
        <w:fldChar w:fldCharType="separate"/>
      </w:r>
      <w:r>
        <w:rPr>
          <w:rFonts w:ascii="Times New Roman" w:hAnsi="Times New Roman" w:cs="Times New Roman"/>
          <w:bCs/>
          <w:color w:val="212121"/>
          <w:sz w:val="24"/>
          <w:szCs w:val="24"/>
          <w:shd w:val="clear" w:color="auto" w:fill="FFFFFF"/>
        </w:rPr>
        <w:t>(Al-Quliti &amp; Alamri, 2015)</w:t>
      </w:r>
      <w:r>
        <w:rPr>
          <w:rFonts w:ascii="Times New Roman" w:hAnsi="Times New Roman" w:cs="Times New Roman"/>
          <w:bCs/>
          <w:color w:val="212121"/>
          <w:sz w:val="24"/>
          <w:szCs w:val="24"/>
          <w:shd w:val="clear" w:color="auto" w:fill="FFFFFF"/>
        </w:rPr>
        <w:fldChar w:fldCharType="end"/>
      </w:r>
      <w:r>
        <w:rPr>
          <w:rFonts w:ascii="Times New Roman" w:hAnsi="Times New Roman" w:cs="Times New Roman"/>
          <w:bCs/>
          <w:sz w:val="24"/>
          <w:szCs w:val="24"/>
          <w:shd w:val="clear" w:color="auto" w:fill="FFFFFF"/>
        </w:rPr>
        <w:t>. The instrument of choice for this study is the numerical rating scale (0–10), where 0 denotes "no pain" and 10 denotes "the greatest pain possible." It was chosen due to its clarity, simplicity, and sensitivity to minute variations in pain levels.</w:t>
      </w:r>
    </w:p>
    <w:p>
      <w:pPr>
        <w:tabs>
          <w:tab w:val="left" w:pos="9360"/>
        </w:tabs>
        <w:autoSpaceDE w:val="0"/>
        <w:autoSpaceDN w:val="0"/>
        <w:adjustRightInd w:val="0"/>
        <w:spacing w:before="100" w:beforeAutospacing="1" w:after="100" w:afterAutospacing="1" w:line="480" w:lineRule="auto"/>
        <w:ind w:left="90" w:firstLine="720"/>
        <w:jc w:val="both"/>
        <w:rPr>
          <w:rFonts w:ascii="Times New Roman" w:hAnsi="Times New Roman" w:cs="Times New Roman"/>
          <w:bCs/>
          <w:color w:val="2E2E2E"/>
          <w:sz w:val="24"/>
          <w:szCs w:val="24"/>
        </w:rPr>
      </w:pPr>
      <w:r>
        <w:rPr>
          <w:rFonts w:ascii="Times New Roman" w:hAnsi="Times New Roman" w:cs="Times New Roman"/>
          <w:sz w:val="24"/>
          <w:szCs w:val="24"/>
        </w:rPr>
        <w:drawing>
          <wp:inline distT="0" distB="0" distL="0" distR="0">
            <wp:extent cx="4996815" cy="866775"/>
            <wp:effectExtent l="0" t="0" r="0" b="9525"/>
            <wp:docPr id="2" name="Picture 2"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imeline&#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203315" cy="902707"/>
                    </a:xfrm>
                    <a:prstGeom prst="rect">
                      <a:avLst/>
                    </a:prstGeom>
                    <a:noFill/>
                    <a:ln>
                      <a:noFill/>
                    </a:ln>
                  </pic:spPr>
                </pic:pic>
              </a:graphicData>
            </a:graphic>
          </wp:inline>
        </w:drawing>
      </w:r>
    </w:p>
    <w:p>
      <w:pPr>
        <w:tabs>
          <w:tab w:val="left" w:pos="9360"/>
        </w:tabs>
        <w:autoSpaceDE w:val="0"/>
        <w:autoSpaceDN w:val="0"/>
        <w:adjustRightInd w:val="0"/>
        <w:spacing w:before="100" w:beforeAutospacing="1" w:after="100" w:afterAutospacing="1" w:line="480" w:lineRule="auto"/>
        <w:ind w:left="90" w:firstLine="720"/>
        <w:jc w:val="both"/>
        <w:rPr>
          <w:rFonts w:ascii="Times New Roman" w:hAnsi="Times New Roman" w:cs="Times New Roman"/>
          <w:sz w:val="24"/>
          <w:szCs w:val="24"/>
          <w:shd w:val="clear" w:color="auto" w:fill="FFFFFF"/>
        </w:rPr>
      </w:pP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10.1097/BTO.0000000000000245.Goals","ISBN":"0000000000000","author":[{"dropping-particle":"","family":"Le-wendling","given":"Linda","non-dropping-particle":"","parse-names":false,"suffix":""},{"dropping-particle":"","family":"Medicine","given":"Perioperative Pain","non-dropping-particle":"","parse-names":false,"suffix":""},{"dropping-particle":"","family":"Glick","given":"Wesley","non-dropping-particle":"","parse-names":false,"suffix":""},{"dropping-particle":"","family":"Medicine","given":"Perioperative Pain","non-dropping-particle":"","parse-names":false,"suffix":""},{"dropping-particle":"","family":"Pain","given":"Perioperative","non-dropping-particle":"","parse-names":false,"suffix":""},{"dropping-particle":"","family":"Tighe","given":"Patrick","non-dropping-particle":"","parse-names":false,"suffix":""},{"dropping-particle":"","family":"Medicine","given":"Perioperative Pain","non-dropping-particle":"","parse-names":false,"suffix":""}],"id":"ITEM-1","issue":"4","issued":{"date-parts":[["2018"]]},"page":"200-208","title":"HHS Public Access","type":"article-journal","volume":"32"},"uris":["http://www.mendeley.com/documents/?uuid=142fc6a0-389d-460a-9419-3b880c0d433a"]}],"mendeley":{"formattedCitation":"(Le-wendling et al., 2018)","manualFormatting":"Le-wendling, Glick, and Tighe (2018)","plainTextFormattedCitation":"(Le-wendling et al., 2018)","previouslyFormattedCitation":"(Le-wendling et al., 2018)"},"properties":{"noteIndex":0},"schema":"https://github.com/citation-style-language/schema/raw/master/csl-citation.json"}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Le-wendling, Glick, and Tighe (2018)</w:t>
      </w:r>
      <w:r>
        <w:rPr>
          <w:rFonts w:ascii="Times New Roman" w:hAnsi="Times New Roman" w:cs="Times New Roman"/>
          <w:bCs/>
          <w:sz w:val="24"/>
          <w:szCs w:val="24"/>
        </w:rPr>
        <w:fldChar w:fldCharType="end"/>
      </w:r>
      <w:r>
        <w:rPr>
          <w:rFonts w:ascii="Times New Roman" w:hAnsi="Times New Roman" w:cs="Times New Roman"/>
          <w:sz w:val="24"/>
          <w:szCs w:val="24"/>
          <w:shd w:val="clear" w:color="auto" w:fill="FFFFFF"/>
        </w:rPr>
        <w:t xml:space="preserve"> carried out a study on the goals and objectives to maximize the value of an acute pain service in perioperative pain management, which highlighted the fundamental needs to meet post-operative pain management, such as routine assessments of pain intensity at rest and with movement. Due to the lack of a standardized technique for assessing POP, a study looking into how nurses in Ghana assessed and treated postoperative pain discovered that some nurses had never used any evaluation tool</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{"citationItems":[{"id":"ITEM-1","itemData":{"DOI":"10.1155/2019/9091467","ISSN":"2090-1429","abstract":" Background. Postoperative pain remains one of the greatest concerns for patients following surgical procedures. Nurses play an essential role in postoperative pain assessment and management, especially within the first few days after surgery. Objective. The study investigated how nurses in a resource-constraint hospital in Ghana assessed and managed postoperative pain. Methods. This was an explorative qualitative study involving 12 registered nurses practising in the largest referral hospital in Ghana. Data was gathered using a semistructured interview guide. Demographic characteristics of participants were summarized using descriptive statistics. Data were analysed using Kvale’s three phases for analysing qualitative data. First, the entire text was read again to identify meaning units which were then condensed. Second, the condensed texts were read again and interpreted. Finally, the condensed data containing similar meaning were coded and then sorted into subthemes. Results. It was found that some nurses have never used any pain assessment tool due to lack of standard tool for assessing postoperative pain. The majority of nurses reported that managing pain by using medication was the norm especially in the first 24 hours after surgery. Conclusion. Although participants may have some knowledge of assessing and managing postoperative pain, this knowledge was not largely used to manage postoperative pain effectively, partly because of resource constraints. Therefore, there is the need for adequate training and with provision of resources, it is imperative that the use of standardized pain assessment scales could help in the proper assessment and management of postoperative pain in this setting. ","author":[{"dropping-particle":"","family":"Mahama","given":"Faisal","non-dropping-particle":"","parse-names":false,"suffix":""},{"dropping-particle":"","family":"Ninnoni","given":"Jerry P. K.","non-dropping-particle":"","parse-names":false,"suffix":""}],"container-title":"Nursing Research and Practice","id":"ITEM-1","issued":{"date-parts":[["2019"]]},"page":"1-7","title":"Assessment and Management of Postoperative Pain among Nurses at a Resource-Constraint Teaching Hospital in Ghana","type":"article-journal","volume":"2019"},"uris":["http://www.mendeley.com/documents/?uuid=913ba63c-f6cb-436f-815a-cfce17096014"]}],"mendeley":{"formattedCitation":"(Mahama &amp; Ninnoni, 2019)","plainTextFormattedCitation":"(Mahama &amp; Ninnoni, 2019)","previouslyFormattedCitation":"(Mahama &amp; Ninnoni, 2019)"},"properties":{"noteIndex":0},"schema":"https://github.com/citation-style-language/schema/raw/master/csl-citation.json"}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(Mahama &amp; Ninnoni, 2019)</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w:t>
      </w:r>
    </w:p>
    <w:p>
      <w:pPr>
        <w:tabs>
          <w:tab w:val="left" w:pos="9360"/>
        </w:tabs>
        <w:autoSpaceDE w:val="0"/>
        <w:autoSpaceDN w:val="0"/>
        <w:adjustRightInd w:val="0"/>
        <w:spacing w:before="100" w:beforeAutospacing="1" w:after="100" w:afterAutospacing="1" w:line="480" w:lineRule="auto"/>
        <w:ind w:left="90" w:firstLine="720"/>
        <w:jc w:val="both"/>
        <w:rPr>
          <w:rFonts w:ascii="Times New Roman" w:hAnsi="Times New Roman" w:cs="Times New Roman"/>
          <w:sz w:val="24"/>
          <w:szCs w:val="24"/>
          <w:shd w:val="clear" w:color="auto" w:fill="FFFFFF"/>
        </w:rPr>
      </w:pPr>
      <w:r>
        <w:rPr>
          <w:rFonts w:ascii="Times New Roman" w:hAnsi="Times New Roman" w:cs="Times New Roman" w:eastAsiaTheme="minorEastAsia"/>
          <w:bCs/>
          <w:sz w:val="24"/>
          <w:szCs w:val="24"/>
        </w:rPr>
        <w:fldChar w:fldCharType="begin" w:fldLock="1"/>
      </w:r>
      <w:r>
        <w:rPr>
          <w:rFonts w:ascii="Times New Roman" w:hAnsi="Times New Roman" w:cs="Times New Roman" w:eastAsiaTheme="minorEastAsia"/>
          <w:bCs/>
          <w:sz w:val="24"/>
          <w:szCs w:val="24"/>
        </w:rPr>
        <w:instrText xml:space="preserve">ADDIN CSL_CITATION {"citationItems":[{"id":"ITEM-1","itemData":{"DOI":"10.1177/2377960818790383","ISSN":"23779608","abstract":"Introduction: There is documented evidence pointing to the fact that there are numerous challenges with postoperative pain (POP) management globally. However, these challenges with POP management are more profound in developing countries. Purpose: The purpose of this study is to examine the knowledge, attitude, and practices of nurses concerning POP management in four selected district hospitals in Ghana. Methodology: A descriptive, cross-sectional survey was employed to evaluate nurse's knowledge, attitude, and practices pertaining to POP management. Multistaged sampling was used to draw the respondents. An adapted version of the Nurses Knowledge and Attitudes Survey Regarding Pain instrument was used to test the knowledge, attitude, and practices of nurses and midwives. Descriptive statistics were used to analyze the data in order to present quantitative descriptions of variables in this study. Results: This study showed that nurses in the four district hospitals had knowledge deficits regarding POP management. Eighty-one representing 48% of nurses had low knowledge on POP management. An overwhelming majority of nurses (97.6%) relied on routinely rendered basic nursing skills to relieve POP and a few used pharmacological interventions. However, nurses had good attitudes toward POP management. Conclusions: POP is ineffectively managed by nurses in district hospitals in Ghana. Nurses and midwives in Ghana need to adhere to best practices in POP management by increasing their theoretical and practical knowledge, so that there will be tangible positive change in POP management in Ghana. Recommendations: Nurses must be empowered through continuous development programs to keep abreast with changing trends that pertain to POP management.","author":[{"dropping-particle":"","family":"Menlah","given":"Awube","non-dropping-particle":"","parse-names":false,"suffix":""},{"dropping-particle":"","family":"Garti","given":"Isabella","non-dropping-particle":"","parse-names":false,"suffix":""},{"dropping-particle":"","family":"Amoo","given":"Sarah Ama","non-dropping-particle":"","parse-names":false,"suffix":""},{"dropping-particle":"","family":"Atakro","given":"Confidence Alorse","non-dropping-particle":"","parse-names":false,"suffix":""},{"dropping-particle":"","family":"Amponsah","given":"Caleb","non-dropping-particle":"","parse-names":false,"suffix":""},{"dropping-particle":"","family":"Agyare","given":"Dorcas Frempomaa","non-dropping-particle":"","parse-names":false,"suffix":""}],"container-title":"SAGE Open Nursing","id":"ITEM-1","issued":{"date-parts":[["2018"]]},"page":"1-11","title":"Knowledge, Attitudes, and Practices of Postoperative Pain Management by Nurses in Selected District Hospitals in Ghana","type":"article-journal","volume":"4"},"uris":["http://www.mendeley.com/documents/?uuid=07b40d8d-551e-4a98-9e1d-ebebaef22123"]}],"mendeley":{"formattedCitation":"(Menlah et al., 2018)","manualFormatting":"Menlah et al. (2018)","plainTextFormattedCitation":"(Menlah et al., 2018)","previouslyFormattedCitation":"(Menlah et al., 2018)"},"properties":{"noteIndex":0},"schema":"https://github.com/citation-style-language/schema/raw/master/csl-citation.json"}</w:instrText>
      </w:r>
      <w:r>
        <w:rPr>
          <w:rFonts w:ascii="Times New Roman" w:hAnsi="Times New Roman" w:cs="Times New Roman" w:eastAsiaTheme="minorEastAsia"/>
          <w:bCs/>
          <w:sz w:val="24"/>
          <w:szCs w:val="24"/>
        </w:rPr>
        <w:fldChar w:fldCharType="separate"/>
      </w:r>
      <w:r>
        <w:rPr>
          <w:rFonts w:ascii="Times New Roman" w:hAnsi="Times New Roman" w:cs="Times New Roman" w:eastAsiaTheme="minorEastAsia"/>
          <w:bCs/>
          <w:sz w:val="24"/>
          <w:szCs w:val="24"/>
        </w:rPr>
        <w:t>Menlah et al. (2018)</w:t>
      </w:r>
      <w:r>
        <w:rPr>
          <w:rFonts w:ascii="Times New Roman" w:hAnsi="Times New Roman" w:cs="Times New Roman" w:eastAsiaTheme="minorEastAsia"/>
          <w:bCs/>
          <w:sz w:val="24"/>
          <w:szCs w:val="24"/>
        </w:rPr>
        <w:fldChar w:fldCharType="end"/>
      </w:r>
      <w:r>
        <w:rPr>
          <w:rFonts w:ascii="Times New Roman" w:hAnsi="Times New Roman" w:cs="Times New Roman" w:eastAsiaTheme="minorEastAsia"/>
          <w:bCs/>
          <w:sz w:val="24"/>
          <w:szCs w:val="24"/>
        </w:rPr>
        <w:t>,</w:t>
      </w:r>
      <w:r>
        <w:rPr>
          <w:rFonts w:ascii="Times New Roman" w:hAnsi="Times New Roman" w:cs="Times New Roman" w:eastAsiaTheme="minorEastAsia"/>
          <w:b/>
          <w:sz w:val="24"/>
          <w:szCs w:val="24"/>
        </w:rPr>
        <w:t xml:space="preserve"> c</w:t>
      </w:r>
      <w:r>
        <w:rPr>
          <w:rFonts w:ascii="Times New Roman" w:hAnsi="Times New Roman" w:cs="Times New Roman" w:eastAsiaTheme="minorEastAsia"/>
          <w:sz w:val="24"/>
          <w:szCs w:val="24"/>
        </w:rPr>
        <w:t xml:space="preserve">onducted a descriptive cross-section survey to investigate </w:t>
      </w:r>
      <w:r>
        <w:rPr>
          <w:rFonts w:ascii="Times New Roman" w:hAnsi="Times New Roman" w:cs="Times New Roman"/>
          <w:sz w:val="24"/>
          <w:szCs w:val="24"/>
          <w:shd w:val="clear" w:color="auto" w:fill="FFFFFF"/>
        </w:rPr>
        <w:t xml:space="preserve">the knowledge, attitude, and practices of nurses concerning POP management and found that 48% of 194 nurses </w:t>
      </w:r>
      <w:r>
        <w:rPr>
          <w:rFonts w:ascii="Times New Roman" w:hAnsi="Times New Roman" w:cs="Times New Roman"/>
          <w:sz w:val="24"/>
          <w:szCs w:val="24"/>
        </w:rPr>
        <w:t>not only failed to implement an adequate nursing intervention that would reduce postoperative pain but also lacked the assessment skills needed to identify the intensity of pain to inform proper management. Besides a lack of knowledge of postoperative assessment, the barrier has been identified in communicating pain assessment data. For instance, in the study to evaluate the knowledge, attitude, and practice of nurses at Wolaita Sodo University Teaching Referral Hospital about postoperative pain treatment</w:t>
      </w:r>
      <w:r>
        <w:rPr>
          <w:rFonts w:ascii="Times New Roman" w:hAnsi="Times New Roman" w:cs="Times New Roman"/>
          <w:sz w:val="24"/>
          <w:szCs w:val="24"/>
          <w:shd w:val="clear" w:color="auto" w:fill="FFFFFF"/>
        </w:rPr>
        <w:t>, poor post-operative pain treatment resulted from the nurses' failure to share the results of the post-operative pain evaluation</w:t>
      </w:r>
      <w:r>
        <w:rPr>
          <w:rFonts w:ascii="Times New Roman" w:hAnsi="Times New Roman" w:cs="Times New Roman" w:eastAsiaTheme="minorEastAsia"/>
          <w:bCs/>
          <w:sz w:val="24"/>
          <w:szCs w:val="24"/>
        </w:rPr>
        <w:fldChar w:fldCharType="begin" w:fldLock="1"/>
      </w:r>
      <w:r>
        <w:rPr>
          <w:rFonts w:ascii="Times New Roman" w:hAnsi="Times New Roman" w:cs="Times New Roman" w:eastAsiaTheme="minorEastAsia"/>
          <w:bCs/>
          <w:sz w:val="24"/>
          <w:szCs w:val="24"/>
        </w:rPr>
        <w:instrText xml:space="preserve">ADDIN CSL_CITATION {"citationItems":[{"id":"ITEM-1","itemData":{"DOI":"10.35248/2155-6148.20.11.958","abstract":"ABSTRACT Background: Patient recovery after surgery is one of the most important health processes in hospital healthcare. Effective pain management requires precise knowledge, attitude, and competent assessment skills in practice. Objective: To assess knowledge, attitude, and practice toward postoperative pain management among Nurses staff of Wolaita Sodo University Teaching referral Hospital from May 13-28, 2019. Method: Across sectional-study design was carried out in Wolaita Sodo University Teaching referral Hospital. All nurses who were provided postoperative patient care were included. Data were collected using a pre-tested and structured questionnaire by trained data collectors and then coded and entered into Epi data 3.5.1 and exported to SPSS version 25 for cleaning and analysis. Descriptive statistics like frequency tables and graphs were used for data presentation. Results: Most of nurses have good knowledge related to post-operative pain management, but they are poor in opioid related side effect. The findings of these studies revealed that there were several obstacles, which leads inadequate postoperative pain management, and there were deficiencies concerning postoperative pain management through providing pharmacological and non-pharmacological pain management. In this study unavailability of sufficient pain medication in the ward, lack of protocol, and poor communication pain assessment were the three highest barriers perceived by nurses in postoperative pain management practice. Conclusion: Inadequate post-operative pain management is the result of several obstacles (barriers) that identified by nurses rather than knowledge, attitude, and practice which includes unavailability of enough pain medication in the ward, lack of specific pain management protocol and guidelines, poor communication pain assessment, and absence of non-pharmacological pain management methods and materials to provide non-pharmacological pain management.","author":[{"dropping-particle":"","family":"Dendir","given":"Getahun","non-dropping-particle":"","parse-names":false,"suffix":""},{"dropping-particle":"","family":"Sintayehu","given":"Ashagre","non-dropping-particle":"","parse-names":false,"suffix":""},{"dropping-particle":"","family":"Anmut","given":"Walellign","non-dropping-particle":"","parse-names":false,"suffix":""}],"container-title":"Anesthesia &amp; Clinical Research","id":"ITEM-1","issue":"January","issued":{"date-parts":[["2020"]]},"page":"1-9","title":"Knowledge , Attitude and Practice of Nurses towards Post-operative Pain Management in Wolaita Sodo University Teaching Referral Hospital , Ethiopia , Institutional Based Cross-sectional Study Journal of Anesthesia &amp; Clinical Research","type":"article-journal"},"uris":["http://www.mendeley.com/documents/?uuid=8ae1f5c7-fff2-4272-aaa9-927a723297b0"]}],"mendeley":{"formattedCitation":"(Dendir et al., 2020)","manualFormatting":"(Dendir, Sintayehu, &amp; Anmut, 2020)","plainTextFormattedCitation":"(Dendir et al., 2020)","previouslyFormattedCitation":"(Dendir et al., 2020)"},"properties":{"noteIndex":0},"schema":"https://github.com/citation-style-language/schema/raw/master/csl-citation.json"}</w:instrText>
      </w:r>
      <w:r>
        <w:rPr>
          <w:rFonts w:ascii="Times New Roman" w:hAnsi="Times New Roman" w:cs="Times New Roman" w:eastAsiaTheme="minorEastAsia"/>
          <w:bCs/>
          <w:sz w:val="24"/>
          <w:szCs w:val="24"/>
        </w:rPr>
        <w:fldChar w:fldCharType="separate"/>
      </w:r>
      <w:r>
        <w:rPr>
          <w:rFonts w:ascii="Times New Roman" w:hAnsi="Times New Roman" w:cs="Times New Roman" w:eastAsiaTheme="minorEastAsia"/>
          <w:bCs/>
          <w:sz w:val="24"/>
          <w:szCs w:val="24"/>
        </w:rPr>
        <w:t>(Dendir, Sintayehu, &amp; Anmut, 2020)</w:t>
      </w:r>
      <w:r>
        <w:rPr>
          <w:rFonts w:ascii="Times New Roman" w:hAnsi="Times New Roman" w:cs="Times New Roman" w:eastAsiaTheme="minorEastAsia"/>
          <w:bCs/>
          <w:sz w:val="24"/>
          <w:szCs w:val="24"/>
        </w:rPr>
        <w:fldChar w:fldCharType="end"/>
      </w:r>
      <w:r>
        <w:rPr>
          <w:rFonts w:ascii="Times New Roman" w:hAnsi="Times New Roman" w:cs="Times New Roman" w:eastAsiaTheme="minorEastAsia"/>
          <w:bCs/>
          <w:sz w:val="24"/>
          <w:szCs w:val="24"/>
        </w:rPr>
        <w:t>.</w:t>
      </w:r>
      <w:r>
        <w:rPr>
          <w:rFonts w:ascii="Times New Roman" w:hAnsi="Times New Roman" w:cs="Times New Roman"/>
          <w:bCs/>
          <w:color w:val="FF0000"/>
          <w:sz w:val="24"/>
          <w:szCs w:val="24"/>
          <w:shd w:val="clear" w:color="auto" w:fill="FFFFFF"/>
        </w:rPr>
        <w:t xml:space="preserve"> </w:t>
      </w:r>
      <w:r>
        <w:rPr>
          <w:rFonts w:ascii="Times New Roman" w:hAnsi="Times New Roman" w:cs="Times New Roman"/>
          <w:sz w:val="24"/>
          <w:szCs w:val="24"/>
          <w:shd w:val="clear" w:color="auto" w:fill="FFFFFF"/>
        </w:rPr>
        <w:t xml:space="preserve">There is a need for endless education on pain assessment to increase nurse’s knowledge and enhance their practice regarding the assessment and management of post-operative pain </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{"citationItems":[{"id":"ITEM-1","itemData":{"DOI":"10.17712/nsj.2015.2.20140546","ISSN":"13196138","PMID":"25864065","abstract":"Objective: To present data on knowledge and attitudes toward pain assessment among health care providers in Almadinah Almunawwarah, Saudi Arabia. Methods: This exploratory study required at least 100 participants to attain an effect size of 0.2 or larger. A convenience sample was recruited from the major hospitals in Almadinah Almunawwarah, Saudi Arabia; King Fahad Hospital, Ohud Hospital, Alansar Hospital, Almeqat Hospital, and the Maternity Hospital. Data collection occurred between January and April 2014. Knowledge of pain assessment was examined by administering the Knowledge and Attitudes Survey Regarding Pain. Results: Data from 105 participants was collected. Seventy-three participants scored 44% or below (69.5%), and 32 participants scored 45% and above (30.5%). Additionally, only 6 participants (5.7%) scored above 60%. There were significant differences between male and female scores (p=0.05), physicians’ and nurses’ scores (p=0.001), and level of education (p=0.009). There were no significant differences in the passing scores across means of nationality, the department where participants worked, years of experience, and age of participants. Conclusion: There is a deficit in pain assessment knowledge, and pain management in the study group. Continuous education on pain assessment is required to increase the health care providers’ knowledge, and enhance their practices regarding pain assessment and treatment.","author":[{"dropping-particle":"","family":"Al-Quliti","given":"Khalid W.","non-dropping-particle":"","parse-names":false,"suffix":""},{"dropping-particle":"","family":"Alamri","given":"Majed S.","non-dropping-particle":"","parse-names":false,"suffix":""}],"container-title":"Neurosciences","id":"ITEM-1","issue":"2","issued":{"date-parts":[["2015"]]},"page":"131-136","title":"Knowledge, attitudes, and practices of health care providers in Almadinah Almunawwarah, Saudi Arabia","type":"article-journal","volume":"20"},"uris":["http://www.mendeley.com/documents/?uuid=2230e7ec-ed87-4711-985e-53a4e8b1e266"]}],"mendeley":{"formattedCitation":"(Al-Quliti &amp; Alamri, 2015)","plainTextFormattedCitation":"(Al-Quliti &amp; Alamri, 2015)","previouslyFormattedCitation":"(Al-Quliti &amp; Alamri, 2015)"},"properties":{"noteIndex":0},"schema":"https://github.com/citation-style-language/schema/raw/master/csl-citation.json"}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(Al-Quliti &amp; Alamri, 2015</w:t>
      </w:r>
      <w:r>
        <w:rPr>
          <w:rFonts w:ascii="Times New Roman" w:hAnsi="Times New Roman" w:cs="Times New Roman"/>
          <w:bCs/>
          <w:sz w:val="24"/>
          <w:szCs w:val="24"/>
          <w:shd w:val="clear" w:color="auto" w:fill="FFFFFF"/>
        </w:rPr>
        <w:fldChar w:fldCharType="end"/>
      </w:r>
      <w:bookmarkStart w:id="18" w:name="_Hlk121400568"/>
      <w:r>
        <w:rPr>
          <w:rFonts w:ascii="Times New Roman" w:hAnsi="Times New Roman" w:cs="Times New Roman"/>
          <w:bCs/>
          <w:sz w:val="24"/>
          <w:szCs w:val="24"/>
          <w:shd w:val="clear" w:color="auto" w:fill="FFFFFF"/>
        </w:rPr>
        <w:t xml:space="preserve">; </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{"citationItems":[{"id":"ITEM-1","itemData":{"DOI":"10.2147/prom.s234521","ISSN":"1179-271X","abstract":"Background: Pain management is one part of management in the postoperative period. The prevalence of moderate to severe postoperative pain and its functional interference is high in Ethiopian patients. In this study we aimed (1) to assess nurses' knowledge and attitudes regarding post-operative pain management; (2) to identify the factors of nurses' knowledge and attitudes. Method: A cross-sectional multicenter study was conducted. All nurses working in Amhara region referral hospitals were involved in the study. The Nurses' Knowledge and Attitudes Survey Regarding Pain (NKASRP) was used to measure the nurses' pain management knowledge and attitudes. Bivariable and multivariable logistic regression was used to identify factors associated with knowledge and attitude. Results: A total of 433 nurses were included. Of the total respondents, 90.6% of them had a bachelor's degree with work experience of between 1 to 5 years (58.5%). Only 76 (19.2%) participants got access to read journals and 66 (16.7%) had taken training regarding postoperative pain management. The results showed that 56.5% [95% CI= (51.6-61.3)] respondents had adequate knowledge and 8.9% [95% CI= (6.1-11.6)] of them had positive attitudes towards POP management. Higher level of education [AOR=8.2; CI= (2.51-26.83)], getting access to read journals [AOR =1.83; CI= (1.01-3.30)], and taking POP management training [AOR=8.63; CI= (3.67-20.28)] were statistically associated with adequate knowledge. Similarly, positive attitude towards postoperative pain management was associated with taking POP management training, available of pain management course in the curriculum, and getting access to read. Conclusion: Although more than half of nurses in the study area had adequate knowledge towards POP management, only a small number had a positive attitude. Taking POP management training and getting access to read journals were significantly associated with good knowledge and attitude towards POP management; therefore, regular in-service training and getting accessing reading materials (such as journals or articles) are recommended to enhance quality service to patients.","author":[{"dropping-particle":"","family":"Dessie","given":"Mengesha","non-dropping-particle":"","parse-names":false,"suffix":""},{"dropping-particle":"","family":"Asichale","given":"Agmuas","non-dropping-particle":"","parse-names":false,"suffix":""},{"dropping-particle":"","family":"Belayneh","given":"Tadesse","non-dropping-particle":"","parse-names":false,"suffix":""},{"dropping-particle":"","family":"Enyew","given":"Henos","non-dropping-particle":"","parse-names":false,"suffix":""},{"dropping-particle":"","family":"Hailekiros","given":"Amare","non-dropping-particle":"","parse-names":false,"suffix":""}],"container-title":"Patient Related Outcome Measures","id":"ITEM-1","issued":{"date-parts":[["2019"]]},"page":"395-403","title":"&lt;p&gt;Knowledge and Attitudes of Ethiopian Nursing Staff Regarding Post-Operative Pain Management: A Cross-Sectional Multicenter Study&lt;/p&gt;","type":"article-journal","volume":"Volume 10"},"uris":["http://www.mendeley.com/documents/?uuid=d0d3c093-8048-4b6c-9c49-d072ebc670dc"]}],"mendeley":{"formattedCitation":"(Dessie et al., 2019)","manualFormatting":"(Dessie, Asichale, Belayneh, Enyew, and Hailekiros 2019)","plainTextFormattedCitation":"(Dessie et al., 2019)","previouslyFormattedCitation":"(Dessie et al., 2019)"},"properties":{"noteIndex":0},"schema":"https://github.com/citation-style-language/schema/raw/master/csl-citation.json"}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Dessie, Asichale, Belayneh, Enyew, and Hailekiros 2019</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 xml:space="preserve">; </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{"citationItems":[{"id":"ITEM-1","itemData":{"DOI":"10.4314/thrb.v16i1.7","ISSN":"18216404","PMID":"26867272","abstract":"Inadequately controlled postoperative pain (POP) subjects individuals to complications which may be fatal or leading to prolonged hospital stay. Complications from inadequately controlled POP may alleviate the existing shortage of hospital human resource for health in health facilities in developing countries. The burden and challenges of POP management at health facilities in Tanzania is not known. This study was therefore carried out to evaluate postoperative pain management and patient satisfaction with care given at Kilimanjaro Christian Medical Centre (KCMC). This descriptive prospective hospital based study, was conducted at the Kilimanjaro Christian Medical Centre in Moshi, Tanzania from August 2011 to March 2012. POP and patients' satisfaction with pain relief scores were assessed using pain and satisfaction numerical rating scales. Pain assessment was done at 24 hours and 48 hours after operation. Satisfaction was assessed on 48 hours post surgery. All adult patient aged 18 years and above whom were operated in general surgery ward, KCMC and accepted by signing consent were involved in the study. Patients suffering from nervous system were excluded from the study. A total number of 124 patients were recruited and participated in the study. Sixty-five (52.4%) were males and 59 (47.6%) females. Mean age (SD) years 40.9 ± 15.4. The largest percentage of individuals had mild pain both at rest (45.2%) and during movement (44.4%). Patients whose analgesia was administered intravenously were more likely to be satisfied with POP management than those given intramuscular analgesics (P= 0.028). Analgesia used in combination increased significantly the proportion of pain free individuals 48 hours postoperative compared to 24 hours postoperative (P= 0.003). In conclusion, the postoperative pain management is still a challenge in our centre as nearly half of the patient had mild pain in the first 48 hours post surgery.","author":[{"dropping-particle":"","family":"Masigati","given":"Herbert G.","non-dropping-particle":"","parse-names":false,"suffix":""},{"dropping-particle":"","family":"Chilonga","given":"Kondo S.","non-dropping-particle":"","parse-names":false,"suffix":""}],"container-title":"Tanzania Journal of Health Research","id":"ITEM-1","issue":"1","issued":{"date-parts":[["2014"]]},"title":"Postoperative pain management outcomes among adults treated at a tertiary hospital in Moshi, Tanzania","type":"article-journal","volume":"16"},"uris":["http://www.mendeley.com/documents/?uuid=b7f7f79a-e874-4a8b-bae8-88a639bd37eb"]}],"mendeley":{"formattedCitation":"(Masigati &amp; Chilonga, 2014)","plainTextFormattedCitation":"(Masigati &amp; Chilonga, 2014)","previouslyFormattedCitation":"(Masigati &amp; Chilonga, 2014)"},"properties":{"noteIndex":0},"schema":"https://github.com/citation-style-language/schema/raw/master/csl-citation.json"}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Masigati &amp; Chilonga, 2014)</w:t>
      </w:r>
      <w:r>
        <w:rPr>
          <w:rFonts w:ascii="Times New Roman" w:hAnsi="Times New Roman" w:cs="Times New Roman"/>
          <w:bCs/>
          <w:sz w:val="24"/>
          <w:szCs w:val="24"/>
          <w:shd w:val="clear" w:color="auto" w:fill="FFFFFF"/>
        </w:rPr>
        <w:fldChar w:fldCharType="end"/>
      </w:r>
      <w:bookmarkEnd w:id="18"/>
      <w:r>
        <w:rPr>
          <w:rFonts w:ascii="Times New Roman" w:hAnsi="Times New Roman" w:cs="Times New Roman"/>
          <w:sz w:val="24"/>
          <w:szCs w:val="24"/>
          <w:shd w:val="clear" w:color="auto" w:fill="FFFFFF"/>
        </w:rPr>
        <w:t>. Therefore, it’s necessary to conduct a study to examine the nurse’s knowledge, attitude, and practice towards post-operative pain management.</w:t>
      </w:r>
    </w:p>
    <w:p>
      <w:pPr>
        <w:pStyle w:val="3"/>
        <w:tabs>
          <w:tab w:val="left" w:pos="9360"/>
        </w:tabs>
        <w:jc w:val="both"/>
        <w:rPr>
          <w:rFonts w:ascii="Times New Roman" w:hAnsi="Times New Roman" w:cs="Times New Roman"/>
          <w:b w:val="0"/>
          <w:bCs/>
          <w:color w:val="auto"/>
          <w:sz w:val="24"/>
          <w:szCs w:val="24"/>
        </w:rPr>
      </w:pPr>
      <w:bookmarkStart w:id="19" w:name="_Toc134604127"/>
      <w:bookmarkStart w:id="20" w:name="_Toc142753377"/>
      <w:r>
        <w:rPr>
          <w:rFonts w:ascii="Times New Roman" w:hAnsi="Times New Roman" w:cs="Times New Roman"/>
          <w:bCs/>
          <w:color w:val="auto"/>
          <w:sz w:val="24"/>
          <w:szCs w:val="24"/>
        </w:rPr>
        <w:t>Statement of the Problem</w:t>
      </w:r>
      <w:bookmarkEnd w:id="19"/>
      <w:bookmarkEnd w:id="20"/>
      <w:r>
        <w:rPr>
          <w:rFonts w:ascii="Times New Roman" w:hAnsi="Times New Roman" w:cs="Times New Roman"/>
          <w:bCs/>
          <w:color w:val="auto"/>
          <w:sz w:val="24"/>
          <w:szCs w:val="24"/>
        </w:rPr>
        <w:t xml:space="preserve"> </w:t>
      </w:r>
    </w:p>
    <w:p>
      <w:pPr>
        <w:tabs>
          <w:tab w:val="left" w:pos="9360"/>
        </w:tabs>
        <w:spacing w:before="100" w:beforeAutospacing="1" w:after="100" w:afterAutospacing="1" w:line="480" w:lineRule="auto"/>
        <w:ind w:left="90" w:firstLine="720"/>
        <w:jc w:val="both"/>
        <w:rPr>
          <w:rFonts w:ascii="Times New Roman" w:hAnsi="Times New Roman" w:eastAsia="MS Mincho" w:cs="Times New Roman"/>
          <w:sz w:val="24"/>
          <w:szCs w:val="24"/>
          <w:shd w:val="clear" w:color="auto" w:fill="FFFFFF"/>
          <w:lang w:eastAsia="ja-JP"/>
        </w:rPr>
      </w:pPr>
      <w:bookmarkStart w:id="21" w:name="_Hlk132789981"/>
      <w:r>
        <w:rPr>
          <w:rFonts w:ascii="Times New Roman" w:hAnsi="Times New Roman" w:eastAsia="MS Mincho" w:cs="Times New Roman"/>
          <w:sz w:val="24"/>
          <w:szCs w:val="24"/>
          <w:shd w:val="clear" w:color="auto" w:fill="FFFFFF"/>
          <w:lang w:eastAsia="ja-JP"/>
        </w:rPr>
        <w:t xml:space="preserve">Following surgery, post-operative care focuses on addressing the patient's physical, functional, and psychological needs because unmanaged pain can have a severe impact on the patient's mood and physiological processes. In the first 24 hours, pain is typically treated with medication, non-medication approaches, and assessment. Regardless of the interventions done, insufficient pain management continues to bedevil post-operative patients because there is minimal pain assessment reported, and mostly undocumented. Once done, it is not organized as it would be when guided by the pain assessment scale. Therefore, this calls for application of the </w:t>
      </w:r>
      <w:r>
        <w:rPr>
          <w:rFonts w:ascii="Times New Roman" w:hAnsi="Times New Roman" w:eastAsia="MS Mincho" w:cs="Times New Roman"/>
          <w:sz w:val="24"/>
          <w:szCs w:val="24"/>
          <w:lang w:eastAsia="ja-JP"/>
        </w:rPr>
        <w:t xml:space="preserve">pain assessment in postoperative pain management. </w:t>
      </w:r>
    </w:p>
    <w:bookmarkEnd w:id="21"/>
    <w:p>
      <w:pPr>
        <w:pStyle w:val="3"/>
        <w:rPr>
          <w:rFonts w:ascii="Times New Roman" w:hAnsi="Times New Roman" w:cs="Times New Roman"/>
          <w:b w:val="0"/>
          <w:sz w:val="24"/>
          <w:szCs w:val="24"/>
        </w:rPr>
      </w:pPr>
      <w:bookmarkStart w:id="22" w:name="_Toc142753378"/>
      <w:bookmarkStart w:id="23" w:name="_Toc134604128"/>
      <w:r>
        <w:rPr>
          <w:rFonts w:ascii="Times New Roman" w:hAnsi="Times New Roman" w:cs="Times New Roman"/>
          <w:sz w:val="24"/>
          <w:szCs w:val="24"/>
        </w:rPr>
        <w:t>Purpose of the Study</w:t>
      </w:r>
      <w:bookmarkEnd w:id="22"/>
      <w:bookmarkEnd w:id="23"/>
    </w:p>
    <w:p>
      <w:pPr>
        <w:spacing w:before="100" w:beforeAutospacing="1" w:after="100" w:afterAutospacing="1" w:line="480" w:lineRule="auto"/>
        <w:ind w:right="90"/>
        <w:jc w:val="both"/>
        <w:rPr>
          <w:rFonts w:ascii="Times New Roman" w:hAnsi="Times New Roman" w:cs="Times New Roman"/>
          <w:sz w:val="24"/>
          <w:szCs w:val="24"/>
        </w:rPr>
      </w:pPr>
      <w:r>
        <w:rPr>
          <w:rFonts w:ascii="Times New Roman" w:hAnsi="Times New Roman" w:cs="Times New Roman"/>
          <w:sz w:val="24"/>
          <w:szCs w:val="24"/>
        </w:rPr>
        <w:t>The study was conducted to examine the effects of integrating the pain assessment scale to the nurse’s knowledge, attitude, and practices toward the management of post-operative pain in one of the private hospitals in Uganda.</w:t>
      </w:r>
    </w:p>
    <w:p>
      <w:pPr>
        <w:pStyle w:val="3"/>
        <w:rPr>
          <w:rFonts w:ascii="Times New Roman" w:hAnsi="Times New Roman" w:cs="Times New Roman"/>
          <w:b w:val="0"/>
          <w:sz w:val="24"/>
          <w:szCs w:val="24"/>
        </w:rPr>
      </w:pPr>
      <w:bookmarkStart w:id="24" w:name="_Toc134604129"/>
      <w:bookmarkStart w:id="25" w:name="_Toc142753379"/>
      <w:r>
        <w:rPr>
          <w:rFonts w:ascii="Times New Roman" w:hAnsi="Times New Roman" w:cs="Times New Roman"/>
          <w:sz w:val="24"/>
          <w:szCs w:val="24"/>
        </w:rPr>
        <w:t>Research Objectives</w:t>
      </w:r>
      <w:bookmarkEnd w:id="24"/>
      <w:bookmarkEnd w:id="25"/>
      <w:r>
        <w:rPr>
          <w:rFonts w:ascii="Times New Roman" w:hAnsi="Times New Roman" w:cs="Times New Roman"/>
          <w:sz w:val="24"/>
          <w:szCs w:val="24"/>
        </w:rPr>
        <w:t xml:space="preserve"> </w:t>
      </w:r>
    </w:p>
    <w:p>
      <w:pPr>
        <w:pStyle w:val="24"/>
        <w:numPr>
          <w:ilvl w:val="0"/>
          <w:numId w:val="1"/>
        </w:numPr>
        <w:tabs>
          <w:tab w:val="left" w:pos="9360"/>
        </w:tabs>
        <w:spacing w:before="100" w:beforeAutospacing="1" w:after="100" w:afterAutospacing="1" w:line="480" w:lineRule="auto"/>
        <w:jc w:val="both"/>
      </w:pPr>
      <w:r>
        <w:t>To identify the effect of integrating the pain assessment scale on nurse’s knowledge towards the management of post-operative pain.</w:t>
      </w:r>
    </w:p>
    <w:p>
      <w:pPr>
        <w:pStyle w:val="24"/>
        <w:numPr>
          <w:ilvl w:val="0"/>
          <w:numId w:val="1"/>
        </w:numPr>
        <w:tabs>
          <w:tab w:val="left" w:pos="9360"/>
        </w:tabs>
        <w:spacing w:before="100" w:beforeAutospacing="1" w:after="100" w:afterAutospacing="1" w:line="480" w:lineRule="auto"/>
        <w:jc w:val="both"/>
      </w:pPr>
      <w:r>
        <w:t>To determine the effect of integration of the pain assessment scale to the nurses’ attitude towards post-operative pain management.</w:t>
      </w:r>
    </w:p>
    <w:p>
      <w:pPr>
        <w:pStyle w:val="24"/>
        <w:numPr>
          <w:ilvl w:val="0"/>
          <w:numId w:val="1"/>
        </w:numPr>
        <w:tabs>
          <w:tab w:val="left" w:pos="9360"/>
        </w:tabs>
        <w:spacing w:before="100" w:beforeAutospacing="1" w:after="100" w:afterAutospacing="1" w:line="480" w:lineRule="auto"/>
        <w:jc w:val="both"/>
      </w:pPr>
      <w:r>
        <w:t xml:space="preserve">To describe the effect of integrating the pain assessment scale on nurses’ practice in the management of post-operative pain. </w:t>
      </w:r>
    </w:p>
    <w:p>
      <w:pPr>
        <w:pStyle w:val="3"/>
        <w:rPr>
          <w:rFonts w:ascii="Times New Roman" w:hAnsi="Times New Roman" w:cs="Times New Roman"/>
          <w:b w:val="0"/>
          <w:sz w:val="24"/>
          <w:szCs w:val="24"/>
        </w:rPr>
      </w:pPr>
      <w:bookmarkStart w:id="26" w:name="_Toc134604130"/>
      <w:bookmarkStart w:id="27" w:name="_Toc142753380"/>
      <w:r>
        <w:rPr>
          <w:rFonts w:ascii="Times New Roman" w:hAnsi="Times New Roman" w:cs="Times New Roman"/>
          <w:sz w:val="24"/>
          <w:szCs w:val="24"/>
        </w:rPr>
        <w:t>Research Question</w:t>
      </w:r>
      <w:bookmarkEnd w:id="26"/>
      <w:bookmarkEnd w:id="27"/>
    </w:p>
    <w:p>
      <w:pPr>
        <w:spacing w:before="100" w:beforeAutospacing="1" w:after="100" w:afterAutospacing="1" w:line="480" w:lineRule="auto"/>
        <w:ind w:right="90" w:firstLine="720"/>
        <w:jc w:val="both"/>
        <w:rPr>
          <w:rFonts w:ascii="Times New Roman" w:hAnsi="Times New Roman" w:cs="Times New Roman"/>
          <w:sz w:val="24"/>
          <w:szCs w:val="24"/>
        </w:rPr>
      </w:pPr>
      <w:r>
        <w:rPr>
          <w:rFonts w:ascii="Times New Roman" w:hAnsi="Times New Roman" w:cs="Times New Roman"/>
          <w:sz w:val="24"/>
          <w:szCs w:val="24"/>
        </w:rPr>
        <w:t>What is the effect of integrating the pain assessment scale on nurses’ knowledge, attitude, and practice of managing postoperative pain in patients in the surgical ward?</w:t>
      </w:r>
    </w:p>
    <w:p>
      <w:pPr>
        <w:pStyle w:val="3"/>
        <w:rPr>
          <w:rFonts w:ascii="Times New Roman" w:hAnsi="Times New Roman" w:cs="Times New Roman"/>
          <w:b w:val="0"/>
          <w:sz w:val="24"/>
          <w:szCs w:val="24"/>
        </w:rPr>
      </w:pPr>
      <w:bookmarkStart w:id="28" w:name="_Toc142753381"/>
      <w:r>
        <w:rPr>
          <w:rFonts w:ascii="Times New Roman" w:hAnsi="Times New Roman" w:cs="Times New Roman"/>
          <w:sz w:val="24"/>
          <w:szCs w:val="24"/>
        </w:rPr>
        <w:t>Scope of study</w:t>
      </w:r>
      <w:bookmarkEnd w:id="28"/>
      <w:r>
        <w:rPr>
          <w:rFonts w:ascii="Times New Roman" w:hAnsi="Times New Roman" w:cs="Times New Roman"/>
          <w:sz w:val="24"/>
          <w:szCs w:val="24"/>
        </w:rPr>
        <w:t xml:space="preserve"> </w:t>
      </w:r>
    </w:p>
    <w:p>
      <w:pPr>
        <w:spacing w:before="100" w:beforeAutospacing="1" w:after="100" w:afterAutospacing="1" w:line="480" w:lineRule="auto"/>
        <w:ind w:right="90" w:firstLine="720"/>
        <w:jc w:val="both"/>
        <w:rPr>
          <w:rFonts w:ascii="Times New Roman" w:hAnsi="Times New Roman" w:cs="Times New Roman"/>
          <w:sz w:val="24"/>
          <w:szCs w:val="24"/>
        </w:rPr>
      </w:pPr>
      <w:r>
        <w:rPr>
          <w:rFonts w:ascii="Times New Roman" w:hAnsi="Times New Roman" w:cs="Times New Roman"/>
          <w:sz w:val="24"/>
          <w:szCs w:val="24"/>
        </w:rPr>
        <w:t>A study on the impact of integrating the pain assessment scale on nurses' knowledge, attitudes, and practices regarding post-operative pain care in the surgical wards was conducted at Mengo Hospital in Kampala, Uganda. The study is going to explore the nurse’s knowledge, attitude, and practice toward post-operative management in the surgical ward. With 61 participants, the study's sample size was limited to nurses who only worked on surgical wards. The necessary data was gathered over the course of four months.</w:t>
      </w:r>
    </w:p>
    <w:p>
      <w:pPr>
        <w:pStyle w:val="3"/>
        <w:rPr>
          <w:rFonts w:ascii="Times New Roman" w:hAnsi="Times New Roman" w:cs="Times New Roman"/>
          <w:b w:val="0"/>
          <w:sz w:val="24"/>
          <w:szCs w:val="24"/>
        </w:rPr>
      </w:pPr>
      <w:bookmarkStart w:id="29" w:name="_Toc142753382"/>
      <w:r>
        <w:rPr>
          <w:rFonts w:ascii="Times New Roman" w:hAnsi="Times New Roman" w:cs="Times New Roman"/>
          <w:sz w:val="24"/>
          <w:szCs w:val="24"/>
        </w:rPr>
        <w:t>Justification</w:t>
      </w:r>
      <w:bookmarkEnd w:id="29"/>
      <w:r>
        <w:rPr>
          <w:rFonts w:ascii="Times New Roman" w:hAnsi="Times New Roman" w:cs="Times New Roman"/>
          <w:sz w:val="24"/>
          <w:szCs w:val="24"/>
        </w:rPr>
        <w:t xml:space="preserve"> </w:t>
      </w:r>
    </w:p>
    <w:p>
      <w:pPr>
        <w:spacing w:before="100" w:beforeAutospacing="1" w:after="100" w:afterAutospacing="1" w:line="480" w:lineRule="auto"/>
        <w:ind w:right="90" w:firstLine="720"/>
        <w:jc w:val="both"/>
        <w:rPr>
          <w:rFonts w:ascii="Times New Roman" w:hAnsi="Times New Roman" w:cs="Times New Roman"/>
          <w:sz w:val="24"/>
          <w:szCs w:val="24"/>
        </w:rPr>
      </w:pPr>
      <w:r>
        <w:rPr>
          <w:rFonts w:ascii="Times New Roman" w:hAnsi="Times New Roman" w:cs="Times New Roman"/>
          <w:sz w:val="24"/>
          <w:szCs w:val="24"/>
        </w:rPr>
        <w:t>Post operative pain is an exceptional subjective experience and its management has been an issue in the attention of Nursing research in the recent past ten years. Pain assessment scales were introduced to allow nurses and physicians to quantify the individual experience in a way that would allow them effectively to manage post operative pain.</w:t>
      </w:r>
    </w:p>
    <w:p>
      <w:pPr>
        <w:tabs>
          <w:tab w:val="left" w:pos="9360"/>
        </w:tabs>
        <w:spacing w:before="100" w:beforeAutospacing="1" w:after="100" w:afterAutospacing="1" w:line="480" w:lineRule="auto"/>
        <w:ind w:left="90" w:firstLine="720"/>
        <w:jc w:val="both"/>
        <w:rPr>
          <w:rFonts w:ascii="Times New Roman" w:hAnsi="Times New Roman" w:eastAsia="MS Mincho" w:cs="Times New Roman"/>
          <w:sz w:val="24"/>
          <w:szCs w:val="24"/>
          <w:lang w:eastAsia="ja-JP"/>
        </w:rPr>
      </w:pPr>
      <w:r>
        <w:rPr>
          <w:rFonts w:ascii="Times New Roman" w:hAnsi="Times New Roman" w:cs="Times New Roman"/>
          <w:sz w:val="24"/>
          <w:szCs w:val="24"/>
        </w:rPr>
        <w:t xml:space="preserve">Post operative </w:t>
      </w:r>
      <w:r>
        <w:rPr>
          <w:rFonts w:ascii="Times New Roman" w:hAnsi="Times New Roman" w:eastAsia="MS Mincho" w:cs="Times New Roman"/>
          <w:sz w:val="24"/>
          <w:szCs w:val="24"/>
          <w:shd w:val="clear" w:color="auto" w:fill="FFFFFF"/>
          <w:lang w:eastAsia="ja-JP"/>
        </w:rPr>
        <w:t xml:space="preserve">pain is managed pharmacologically, non-pharmacologically and through assessment. Notwithstanding the interventions done, inadequate pain management continues to torment post operative patients because there is minimal pain assessment reported, and primarily not recorded. Where applied, isn’t perfect as it would be when guided by the pain assessment scale. It was thought worthwhile to conduct the study and carryout an educational intervention on the application of the </w:t>
      </w:r>
      <w:r>
        <w:rPr>
          <w:rFonts w:ascii="Times New Roman" w:hAnsi="Times New Roman" w:eastAsia="MS Mincho" w:cs="Times New Roman"/>
          <w:sz w:val="24"/>
          <w:szCs w:val="24"/>
          <w:lang w:eastAsia="ja-JP"/>
        </w:rPr>
        <w:t xml:space="preserve">pain assessment scale towards post operative pain management on the surgical wards in Mengo hospital thus ensuring good health patient outcomes. </w:t>
      </w:r>
    </w:p>
    <w:p>
      <w:pPr>
        <w:pStyle w:val="3"/>
        <w:rPr>
          <w:rFonts w:ascii="Times New Roman" w:hAnsi="Times New Roman" w:cs="Times New Roman"/>
          <w:b w:val="0"/>
          <w:sz w:val="24"/>
          <w:szCs w:val="24"/>
        </w:rPr>
      </w:pPr>
      <w:bookmarkStart w:id="30" w:name="_Toc142753383"/>
      <w:bookmarkStart w:id="31" w:name="_Toc134604131"/>
      <w:r>
        <w:rPr>
          <w:rFonts w:ascii="Times New Roman" w:hAnsi="Times New Roman" w:cs="Times New Roman"/>
          <w:sz w:val="24"/>
          <w:szCs w:val="24"/>
        </w:rPr>
        <w:t>Significance of the Study</w:t>
      </w:r>
      <w:bookmarkEnd w:id="30"/>
      <w:bookmarkEnd w:id="31"/>
      <w:r>
        <w:rPr>
          <w:rFonts w:ascii="Times New Roman" w:hAnsi="Times New Roman" w:cs="Times New Roman"/>
          <w:sz w:val="24"/>
          <w:szCs w:val="24"/>
        </w:rPr>
        <w:t xml:space="preserve"> </w:t>
      </w:r>
    </w:p>
    <w:p>
      <w:pPr>
        <w:pStyle w:val="4"/>
        <w:spacing w:line="480" w:lineRule="auto"/>
        <w:ind w:right="720"/>
        <w:rPr>
          <w:rFonts w:ascii="Times New Roman" w:hAnsi="Times New Roman" w:cs="Times New Roman" w:eastAsiaTheme="minorEastAsia"/>
          <w:b/>
          <w:bCs/>
        </w:rPr>
      </w:pPr>
      <w:bookmarkStart w:id="32" w:name="_Toc134608263"/>
      <w:bookmarkStart w:id="33" w:name="_Toc120852197"/>
      <w:bookmarkStart w:id="34" w:name="_Toc134604132"/>
      <w:bookmarkStart w:id="35" w:name="_Toc142753384"/>
      <w:r>
        <w:rPr>
          <w:rFonts w:ascii="Times New Roman" w:hAnsi="Times New Roman" w:cs="Times New Roman" w:eastAsiaTheme="minorEastAsia"/>
          <w:b/>
          <w:bCs/>
          <w:color w:val="auto"/>
        </w:rPr>
        <w:t>To the nurses.</w:t>
      </w:r>
      <w:bookmarkEnd w:id="32"/>
      <w:bookmarkEnd w:id="33"/>
      <w:bookmarkEnd w:id="34"/>
      <w:bookmarkEnd w:id="35"/>
      <w:r>
        <w:rPr>
          <w:rFonts w:ascii="Times New Roman" w:hAnsi="Times New Roman" w:cs="Times New Roman" w:eastAsiaTheme="minorEastAsia"/>
          <w:b/>
          <w:bCs/>
        </w:rPr>
        <w:tab/>
      </w:r>
    </w:p>
    <w:p>
      <w:pPr>
        <w:autoSpaceDE w:val="0"/>
        <w:autoSpaceDN w:val="0"/>
        <w:adjustRightInd w:val="0"/>
        <w:spacing w:before="100" w:beforeAutospacing="1" w:after="100" w:afterAutospacing="1" w:line="480" w:lineRule="auto"/>
        <w:ind w:right="90" w:firstLine="540"/>
        <w:jc w:val="both"/>
        <w:rPr>
          <w:rFonts w:ascii="Times New Roman" w:hAnsi="Times New Roman" w:cs="Times New Roman" w:eastAsiaTheme="minorEastAsia"/>
          <w:sz w:val="24"/>
          <w:szCs w:val="24"/>
        </w:rPr>
      </w:pPr>
      <w:r>
        <w:rPr>
          <w:rFonts w:ascii="Times New Roman" w:hAnsi="Times New Roman" w:cs="Times New Roman" w:eastAsiaTheme="minorEastAsia"/>
          <w:sz w:val="24"/>
          <w:szCs w:val="24"/>
        </w:rPr>
        <w:t>The study will shed light on the variables that affect nurses' post-operative pain care, resulting in patient satisfaction. Additionally, it might give nurses more self-assurance and satisfaction when caring for patients who are experiencing post-operative pain. As well, it might investigate the nurse's understanding, behavior, and outcomes of post-operative nursing pain management.</w:t>
      </w:r>
    </w:p>
    <w:p>
      <w:pPr>
        <w:pStyle w:val="4"/>
        <w:ind w:right="90"/>
        <w:jc w:val="both"/>
        <w:rPr>
          <w:rFonts w:ascii="Times New Roman" w:hAnsi="Times New Roman" w:cs="Times New Roman" w:eastAsiaTheme="minorEastAsia"/>
          <w:b/>
          <w:bCs/>
          <w:color w:val="auto"/>
        </w:rPr>
      </w:pPr>
      <w:bookmarkStart w:id="36" w:name="_Toc134608264"/>
      <w:bookmarkStart w:id="37" w:name="_Toc142753385"/>
      <w:bookmarkStart w:id="38" w:name="_Toc120852198"/>
      <w:bookmarkStart w:id="39" w:name="_Toc134604133"/>
      <w:r>
        <w:rPr>
          <w:rFonts w:ascii="Times New Roman" w:hAnsi="Times New Roman" w:cs="Times New Roman" w:eastAsiaTheme="minorEastAsia"/>
          <w:b/>
          <w:bCs/>
          <w:color w:val="auto"/>
        </w:rPr>
        <w:t>Policy makers.</w:t>
      </w:r>
      <w:bookmarkEnd w:id="36"/>
      <w:bookmarkEnd w:id="37"/>
      <w:bookmarkEnd w:id="38"/>
      <w:bookmarkEnd w:id="39"/>
    </w:p>
    <w:p>
      <w:pPr>
        <w:autoSpaceDE w:val="0"/>
        <w:autoSpaceDN w:val="0"/>
        <w:adjustRightInd w:val="0"/>
        <w:spacing w:before="100" w:beforeAutospacing="1" w:after="100" w:afterAutospacing="1" w:line="480" w:lineRule="auto"/>
        <w:ind w:right="90" w:firstLine="540"/>
        <w:jc w:val="both"/>
        <w:rPr>
          <w:rFonts w:ascii="Times New Roman" w:hAnsi="Times New Roman" w:cs="Times New Roman"/>
          <w:sz w:val="24"/>
          <w:szCs w:val="24"/>
        </w:rPr>
      </w:pPr>
      <w:r>
        <w:rPr>
          <w:rFonts w:ascii="Times New Roman" w:hAnsi="Times New Roman" w:cs="Times New Roman"/>
          <w:sz w:val="24"/>
          <w:szCs w:val="24"/>
        </w:rPr>
        <w:t>Based on the results, initiatives to enhance nurses' post-operative pain management knowledge, attitudes, and behaviors may be developed, put into practice, and then assessed. This would lead to enhanced nursing practice and a reduction in patient post-operative pain. This study's goal of identifying assessment knowledge gaps will help policy makers create protocols and policy directives that will enhance nursing practice. Also, the study will serve as a springboard for nursing management to offer nurses and other medical staff in the hospital additional ongoing medical education regarding pain evaluation and management. Further, the report will also serve as a guide for lawmakers as the Ministry of Health in Uganda considers how to give every patient the best possible medical care. Therefore, the study will contribute to the ongoing education of hospital nurses in the assessment and treatment of pain.</w:t>
      </w:r>
      <w:r>
        <w:rPr>
          <w:rFonts w:ascii="Times New Roman" w:hAnsi="Times New Roman" w:cs="Times New Roman" w:eastAsiaTheme="minorEastAsia"/>
          <w:b/>
          <w:sz w:val="24"/>
          <w:szCs w:val="24"/>
        </w:rPr>
        <w:tab/>
      </w:r>
    </w:p>
    <w:p>
      <w:pPr>
        <w:pStyle w:val="4"/>
        <w:spacing w:line="480" w:lineRule="auto"/>
        <w:ind w:right="90"/>
        <w:jc w:val="both"/>
        <w:rPr>
          <w:rFonts w:ascii="Times New Roman" w:hAnsi="Times New Roman" w:cs="Times New Roman" w:eastAsiaTheme="minorEastAsia"/>
          <w:b/>
          <w:bCs/>
          <w:color w:val="auto"/>
        </w:rPr>
      </w:pPr>
      <w:bookmarkStart w:id="40" w:name="_Toc142753386"/>
      <w:bookmarkStart w:id="41" w:name="_Toc120852199"/>
      <w:bookmarkStart w:id="42" w:name="_Toc134604134"/>
      <w:bookmarkStart w:id="43" w:name="_Toc134608265"/>
      <w:r>
        <w:rPr>
          <w:rFonts w:ascii="Times New Roman" w:hAnsi="Times New Roman" w:cs="Times New Roman" w:eastAsiaTheme="minorEastAsia"/>
          <w:b/>
          <w:bCs/>
          <w:color w:val="auto"/>
        </w:rPr>
        <w:t>Nur</w:t>
      </w:r>
      <w:r>
        <w:rPr>
          <w:rFonts w:ascii="Times New Roman" w:hAnsi="Times New Roman" w:cs="Times New Roman"/>
          <w:b/>
          <w:bCs/>
          <w:color w:val="auto"/>
        </w:rPr>
        <w:t>sing education and curriculum development.</w:t>
      </w:r>
      <w:bookmarkEnd w:id="40"/>
      <w:bookmarkEnd w:id="41"/>
      <w:bookmarkEnd w:id="42"/>
      <w:bookmarkEnd w:id="43"/>
    </w:p>
    <w:p>
      <w:pPr>
        <w:autoSpaceDE w:val="0"/>
        <w:autoSpaceDN w:val="0"/>
        <w:adjustRightInd w:val="0"/>
        <w:spacing w:before="100" w:beforeAutospacing="1" w:after="100" w:afterAutospacing="1" w:line="480" w:lineRule="auto"/>
        <w:ind w:right="90" w:firstLine="540"/>
        <w:jc w:val="both"/>
        <w:rPr>
          <w:rFonts w:ascii="Times New Roman" w:hAnsi="Times New Roman" w:cs="Times New Roman" w:eastAsiaTheme="minorEastAsia"/>
          <w:sz w:val="24"/>
          <w:szCs w:val="24"/>
        </w:rPr>
      </w:pPr>
      <w:r>
        <w:rPr>
          <w:rFonts w:ascii="Times New Roman" w:hAnsi="Times New Roman" w:cs="Times New Roman" w:eastAsiaTheme="minorEastAsia"/>
          <w:sz w:val="24"/>
          <w:szCs w:val="24"/>
        </w:rPr>
        <w:t>Nurse educators in the training schools will emphasize the acquired knowledge and skills to be used in training the students on the proper assessment of postoperative pain during their clinical placement. It will provide insight to nursing curriculum developers as far as nursing education is concerned and add pain assessment in the current curriculum.</w:t>
      </w:r>
    </w:p>
    <w:p>
      <w:pPr>
        <w:pStyle w:val="5"/>
        <w:ind w:right="90"/>
        <w:jc w:val="both"/>
        <w:rPr>
          <w:rFonts w:ascii="Times New Roman" w:hAnsi="Times New Roman" w:cs="Times New Roman" w:eastAsiaTheme="minorEastAsia"/>
          <w:b/>
          <w:bCs/>
          <w:i w:val="0"/>
          <w:iCs w:val="0"/>
          <w:color w:val="auto"/>
          <w:sz w:val="24"/>
          <w:szCs w:val="24"/>
        </w:rPr>
      </w:pPr>
      <w:r>
        <w:rPr>
          <w:rFonts w:ascii="Times New Roman" w:hAnsi="Times New Roman" w:cs="Times New Roman" w:eastAsiaTheme="minorEastAsia"/>
          <w:b/>
          <w:bCs/>
          <w:i w:val="0"/>
          <w:iCs w:val="0"/>
          <w:color w:val="auto"/>
          <w:sz w:val="24"/>
          <w:szCs w:val="24"/>
        </w:rPr>
        <w:t>To the Patients.</w:t>
      </w:r>
    </w:p>
    <w:p>
      <w:pPr>
        <w:autoSpaceDE w:val="0"/>
        <w:autoSpaceDN w:val="0"/>
        <w:adjustRightInd w:val="0"/>
        <w:spacing w:before="100" w:beforeAutospacing="1" w:after="100" w:afterAutospacing="1" w:line="480" w:lineRule="auto"/>
        <w:ind w:right="90" w:firstLine="540"/>
        <w:jc w:val="both"/>
        <w:rPr>
          <w:rFonts w:ascii="Times New Roman" w:hAnsi="Times New Roman" w:cs="Times New Roman"/>
          <w:b/>
          <w:sz w:val="24"/>
          <w:szCs w:val="24"/>
        </w:rPr>
      </w:pPr>
      <w:r>
        <w:rPr>
          <w:rFonts w:ascii="Times New Roman" w:hAnsi="Times New Roman" w:cs="Times New Roman" w:eastAsiaTheme="minorEastAsia"/>
          <w:sz w:val="24"/>
          <w:szCs w:val="24"/>
        </w:rPr>
        <w:t>It will create patient satisfaction based on the timely administration of appropriate pain killers after assessing their pain levels. More still, good pain management after assessment will reduce the patient’s complications post operatively, for example chronic post-operative pain. In addition, good post-operative pain management will reduce the patient’s stay in hospital and costs spent in hospital as the study is in a private hospital. Lastly, the patients’ chances of becoming addicted will be reduced as the pain assessment levels will determine which measure to take thus limiting the unnecessary use of opioids.</w:t>
      </w:r>
    </w:p>
    <w:p>
      <w:pPr>
        <w:pStyle w:val="3"/>
        <w:rPr>
          <w:rFonts w:ascii="Times New Roman" w:hAnsi="Times New Roman" w:cs="Times New Roman"/>
          <w:b w:val="0"/>
          <w:sz w:val="24"/>
          <w:szCs w:val="24"/>
        </w:rPr>
      </w:pPr>
      <w:bookmarkStart w:id="44" w:name="_Toc142753387"/>
      <w:bookmarkStart w:id="45" w:name="_Toc134604135"/>
      <w:r>
        <w:rPr>
          <w:rFonts w:ascii="Times New Roman" w:hAnsi="Times New Roman" w:cs="Times New Roman"/>
          <w:sz w:val="24"/>
          <w:szCs w:val="24"/>
        </w:rPr>
        <w:t>Study Variables</w:t>
      </w:r>
      <w:bookmarkEnd w:id="44"/>
      <w:bookmarkEnd w:id="45"/>
    </w:p>
    <w:p>
      <w:pPr>
        <w:spacing w:before="100" w:beforeAutospacing="1" w:after="100" w:afterAutospacing="1" w:line="480" w:lineRule="auto"/>
        <w:ind w:right="90" w:firstLine="720"/>
        <w:jc w:val="both"/>
        <w:rPr>
          <w:rFonts w:ascii="Times New Roman" w:hAnsi="Times New Roman" w:cs="Times New Roman"/>
          <w:sz w:val="24"/>
          <w:szCs w:val="24"/>
        </w:rPr>
      </w:pPr>
      <w:r>
        <w:rPr>
          <w:rFonts w:ascii="Times New Roman" w:hAnsi="Times New Roman" w:cs="Times New Roman"/>
          <w:sz w:val="24"/>
          <w:szCs w:val="24"/>
        </w:rPr>
        <w:t>A variable is any item, circumstance, notion, emotion, moment, or other category that one is attempting to measure.</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{"citationItems":[{"id":"ITEM-1","itemData":{"abstract":"The user has requested enhancement of the downloaded file.","author":[{"dropping-particle":"","family":"Oyebanji","given":"Olayemi Jumoke Abiodun","non-dropping-particle":"","parse-names":false,"suffix":""}],"container-title":"Research in Education","id":"ITEM-1","issue":"July 2017","issued":{"date-parts":[["2017"]]},"page":"43-55","title":"Research Variables: Types, Uses and Definition of Terms","type":"article-journal"},"uris":["http://www.mendeley.com/documents/?uuid=716ce2a1-1d31-4b8b-aa47-3a1b65897860"]}],"mendeley":{"formattedCitation":"(Oyebanji, 2017)","plainTextFormattedCitation":"(Oyebanji, 2017)","previouslyFormattedCitation":"(Oyebanji,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(Oyebanji, 2017)</w:t>
      </w:r>
      <w:r>
        <w:rPr>
          <w:rFonts w:ascii="Times New Roman" w:hAnsi="Times New Roman" w:cs="Times New Roman"/>
          <w:sz w:val="24"/>
          <w:szCs w:val="24"/>
        </w:rPr>
        <w:fldChar w:fldCharType="end"/>
      </w:r>
      <w:r>
        <w:rPr>
          <w:rFonts w:ascii="Times New Roman" w:hAnsi="Times New Roman" w:cs="Times New Roman"/>
          <w:sz w:val="24"/>
          <w:szCs w:val="24"/>
        </w:rPr>
        <w:t xml:space="preserve">. Nurses' knowledge, attitude, and practice are the three primary variables in this study. The pain assessment scale, nurses' knowledge, attitude, and practice are independent variables since post-operative pain management is influenced by the other three variables, making it a dependent variable. According to </w:t>
      </w:r>
      <w:r>
        <w:rPr>
          <w:rFonts w:ascii="Times New Roman" w:hAnsi="Times New Roman" w:cs="Times New Roman"/>
          <w:bCs/>
          <w:sz w:val="24"/>
          <w:szCs w:val="24"/>
        </w:rPr>
        <w:t>Polit and Beck (2008)</w:t>
      </w:r>
      <w:r>
        <w:rPr>
          <w:rFonts w:ascii="Times New Roman" w:hAnsi="Times New Roman" w:cs="Times New Roman"/>
          <w:sz w:val="24"/>
          <w:szCs w:val="24"/>
        </w:rPr>
        <w:t xml:space="preserve"> the variable that is assumed to depend on or be caused by another variable (the independent variable), the outcome variable of interest, is known as the dependent variable. The manipulated (treatment) variable in experimental research is an example of an independent variable because it is thought to affect or impact the dependent variable.</w:t>
      </w:r>
    </w:p>
    <w:p>
      <w:pPr>
        <w:pStyle w:val="3"/>
        <w:rPr>
          <w:rFonts w:ascii="Times New Roman" w:hAnsi="Times New Roman" w:cs="Times New Roman"/>
          <w:sz w:val="24"/>
          <w:szCs w:val="24"/>
        </w:rPr>
      </w:pPr>
      <w:bookmarkStart w:id="46" w:name="_Toc142753388"/>
      <w:bookmarkStart w:id="47" w:name="_Toc134604136"/>
      <w:r>
        <w:rPr>
          <w:rFonts w:ascii="Times New Roman" w:hAnsi="Times New Roman" w:cs="Times New Roman"/>
          <w:sz w:val="24"/>
          <w:szCs w:val="24"/>
        </w:rPr>
        <w:t>Conceptual Framework</w:t>
      </w:r>
      <w:bookmarkEnd w:id="46"/>
      <w:bookmarkEnd w:id="47"/>
      <w:r>
        <w:rPr>
          <w:rFonts w:ascii="Times New Roman" w:hAnsi="Times New Roman" w:cs="Times New Roman"/>
          <w:sz w:val="24"/>
          <w:szCs w:val="24"/>
        </w:rPr>
        <w:t xml:space="preserve">  </w:t>
      </w:r>
    </w:p>
    <w:p>
      <w:pPr>
        <w:pStyle w:val="3"/>
        <w:rPr>
          <w:rFonts w:ascii="Times New Roman" w:hAnsi="Times New Roman" w:cs="Times New Roman"/>
          <w:b w:val="0"/>
          <w:sz w:val="24"/>
          <w:szCs w:val="24"/>
        </w:rPr>
      </w:pPr>
      <w:r>
        <w:rPr>
          <w:rFonts w:ascii="Times New Roman" w:hAnsi="Times New Roman" w:cs="Times New Roman"/>
          <w:sz w:val="24"/>
          <w:szCs w:val="24"/>
        </w:rPr>
        <w:t xml:space="preserve"> </w:t>
      </w:r>
    </w:p>
    <w:p>
      <w:pPr>
        <w:spacing w:before="100" w:beforeAutospacing="1" w:after="100" w:afterAutospacing="1" w:line="480" w:lineRule="auto"/>
        <w:ind w:left="720" w:right="720" w:firstLine="720"/>
        <w:rPr>
          <w:rFonts w:ascii="Times New Roman" w:hAnsi="Times New Roman" w:cs="Times New Roman"/>
          <w:b/>
          <w:sz w:val="24"/>
          <w:szCs w:val="24"/>
        </w:rPr>
      </w:pPr>
      <w:r>
        <w:rPr>
          <w:rFonts w:ascii="Times New Roman" w:hAnsi="Times New Roman" w:cs="Times New Roman"/>
          <w:sz w:val="24"/>
          <w:szCs w:val="24"/>
        </w:rPr>
        <mc:AlternateContent>
          <mc:Choice Requires="wps">
            <w:drawing>
              <wp:anchor distT="0" distB="0" distL="114300" distR="114300" simplePos="0" relativeHeight="251670528" behindDoc="0" locked="0" layoutInCell="1" allowOverlap="1">
                <wp:simplePos x="0" y="0"/>
                <wp:positionH relativeFrom="column">
                  <wp:posOffset>3569970</wp:posOffset>
                </wp:positionH>
                <wp:positionV relativeFrom="paragraph">
                  <wp:posOffset>9525</wp:posOffset>
                </wp:positionV>
                <wp:extent cx="2743200" cy="986155"/>
                <wp:effectExtent l="0" t="0" r="19050" b="24130"/>
                <wp:wrapNone/>
                <wp:docPr id="49" name="Rectangle 49"/>
                <wp:cNvGraphicFramePr/>
                <a:graphic xmlns:a="http://schemas.openxmlformats.org/drawingml/2006/main">
                  <a:graphicData uri="http://schemas.microsoft.com/office/word/2010/wordprocessingShape">
                    <wps:wsp>
                      <wps:cNvSpPr/>
                      <wps:spPr>
                        <a:xfrm>
                          <a:off x="0" y="0"/>
                          <a:ext cx="2743200" cy="985962"/>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cs="Times New Roman"/>
                              </w:rPr>
                            </w:pPr>
                            <w:r>
                              <w:rPr>
                                <w:rFonts w:ascii="Times New Roman" w:hAnsi="Times New Roman" w:cs="Times New Roman"/>
                              </w:rPr>
                              <w:t xml:space="preserve">Post Operative </w:t>
                            </w:r>
                          </w:p>
                          <w:p>
                            <w:pPr>
                              <w:jc w:val="center"/>
                              <w:rPr>
                                <w:rFonts w:ascii="Times New Roman" w:hAnsi="Times New Roman" w:cs="Times New Roman"/>
                              </w:rPr>
                            </w:pPr>
                            <w:r>
                              <w:rPr>
                                <w:rFonts w:ascii="Times New Roman" w:hAnsi="Times New Roman" w:cs="Times New Roman"/>
                              </w:rPr>
                              <w:t xml:space="preserve">Pain Management  </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9" o:spid="_x0000_s1026" o:spt="1" style="position:absolute;left:0pt;margin-left:281.1pt;margin-top:0.75pt;height:77.65pt;width:216pt;z-index:251670528;v-text-anchor:middle;mso-width-relative:page;mso-height-relative:page;" fillcolor="#FFFFFF [3201]" filled="t" stroked="t" coordsize="21600,21600" o:gfxdata="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M0lHAnVAAAACQEAAA8AAAAAAAAAAQAgAAAAIgAAAGRycy9kb3ducmV2LnhtbFBL&#10;AQIUABQAAAAIAIdO4kCidsCvawIAAAQFAAAOAAAAAAAAAAEAIAAAACQBAABkcnMvZTJvRG9jLnht&#10;bFBLBQYAAAAABgAGAFkBAAABBgAAAAA=&#10;">
                <v:fill on="t" focussize="0,0"/>
                <v:stroke weight="1pt" color="#000000 [3200]" miterlimit="8" joinstyle="miter"/>
                <v:imagedata o:title=""/>
                <o:lock v:ext="edit" aspectratio="f"/>
                <v:textbox>
                  <w:txbxContent>
                    <w:p>
                      <w:pPr>
                        <w:jc w:val="center"/>
                        <w:rPr>
                          <w:rFonts w:ascii="Times New Roman" w:hAnsi="Times New Roman" w:cs="Times New Roman"/>
                        </w:rPr>
                      </w:pPr>
                      <w:r>
                        <w:rPr>
                          <w:rFonts w:ascii="Times New Roman" w:hAnsi="Times New Roman" w:cs="Times New Roman"/>
                        </w:rPr>
                        <w:t xml:space="preserve">Post Operative </w:t>
                      </w:r>
                    </w:p>
                    <w:p>
                      <w:pPr>
                        <w:jc w:val="center"/>
                        <w:rPr>
                          <w:rFonts w:ascii="Times New Roman" w:hAnsi="Times New Roman" w:cs="Times New Roman"/>
                        </w:rPr>
                      </w:pPr>
                      <w:r>
                        <w:rPr>
                          <w:rFonts w:ascii="Times New Roman" w:hAnsi="Times New Roman" w:cs="Times New Roman"/>
                        </w:rPr>
                        <w:t xml:space="preserve">Pain Management  </w:t>
                      </w:r>
                    </w:p>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673600" behindDoc="0" locked="0" layoutInCell="1" allowOverlap="1">
                <wp:simplePos x="0" y="0"/>
                <wp:positionH relativeFrom="column">
                  <wp:posOffset>2496185</wp:posOffset>
                </wp:positionH>
                <wp:positionV relativeFrom="paragraph">
                  <wp:posOffset>139700</wp:posOffset>
                </wp:positionV>
                <wp:extent cx="1033780" cy="1067435"/>
                <wp:effectExtent l="0" t="19050" r="33655" b="38100"/>
                <wp:wrapNone/>
                <wp:docPr id="41" name="Arrow: Right 41"/>
                <wp:cNvGraphicFramePr/>
                <a:graphic xmlns:a="http://schemas.openxmlformats.org/drawingml/2006/main">
                  <a:graphicData uri="http://schemas.microsoft.com/office/word/2010/wordprocessingShape">
                    <wps:wsp>
                      <wps:cNvSpPr/>
                      <wps:spPr>
                        <a:xfrm>
                          <a:off x="0" y="0"/>
                          <a:ext cx="1033669" cy="1067132"/>
                        </a:xfrm>
                        <a:prstGeom prst="rightArrow">
                          <a:avLst/>
                        </a:prstGeom>
                      </wps:spPr>
                      <wps:style>
                        <a:lnRef idx="2">
                          <a:schemeClr val="dk1"/>
                        </a:lnRef>
                        <a:fillRef idx="1">
                          <a:schemeClr val="lt1"/>
                        </a:fillRef>
                        <a:effectRef idx="0">
                          <a:schemeClr val="dk1"/>
                        </a:effectRef>
                        <a:fontRef idx="minor">
                          <a:schemeClr val="dk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Arrow: Right 41" o:spid="_x0000_s1026" o:spt="13" type="#_x0000_t13" style="position:absolute;left:0pt;margin-left:196.55pt;margin-top:11pt;height:84.05pt;width:81.4pt;z-index:251673600;v-text-anchor:middle;mso-width-relative:page;mso-height-relative:page;" fillcolor="#FFFFFF [3201]" filled="t" stroked="t" coordsize="21600,21600" o:gfxdata="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DDOu6zYAAAACgEAAA8AAAAAAAAAAQAgAAAAIgAAAGRycy9kb3du&#10;cmV2LnhtbFBLAQIUABQAAAAIAIdO4kBq4kPDcQIAAA4FAAAOAAAAAAAAAAEAIAAAACcBAABkcnMv&#10;ZTJvRG9jLnhtbFBLBQYAAAAABgAGAFkBAAAKBgAAAAA=&#10;" adj="10800,5400">
                <v:fill on="t" focussize="0,0"/>
                <v:stroke weight="1pt" color="#000000 [3200]" miterlimit="8" joinstyle="miter"/>
                <v:imagedata o:title=""/>
                <o:lock v:ext="edit" aspectratio="f"/>
                <v:textbox>
                  <w:txbxContent>
                    <w:p>
                      <w:pPr>
                        <w:jc w:val="center"/>
                      </w:pP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8480" behindDoc="0" locked="0" layoutInCell="1" allowOverlap="1">
                <wp:simplePos x="0" y="0"/>
                <wp:positionH relativeFrom="column">
                  <wp:posOffset>201930</wp:posOffset>
                </wp:positionH>
                <wp:positionV relativeFrom="paragraph">
                  <wp:posOffset>10160</wp:posOffset>
                </wp:positionV>
                <wp:extent cx="2278380" cy="1125220"/>
                <wp:effectExtent l="0" t="0" r="26670" b="17780"/>
                <wp:wrapNone/>
                <wp:docPr id="48" name="Rectangle 48"/>
                <wp:cNvGraphicFramePr/>
                <a:graphic xmlns:a="http://schemas.openxmlformats.org/drawingml/2006/main">
                  <a:graphicData uri="http://schemas.microsoft.com/office/word/2010/wordprocessingShape">
                    <wps:wsp>
                      <wps:cNvSpPr/>
                      <wps:spPr>
                        <a:xfrm>
                          <a:off x="0" y="0"/>
                          <a:ext cx="2278380" cy="1125220"/>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cs="Times New Roman"/>
                                <w:b/>
                                <w:bCs/>
                              </w:rPr>
                            </w:pPr>
                            <w:r>
                              <w:rPr>
                                <w:rFonts w:ascii="Times New Roman" w:hAnsi="Times New Roman" w:cs="Times New Roman"/>
                                <w:b/>
                                <w:bCs/>
                              </w:rPr>
                              <w:t xml:space="preserve">Knowledge </w:t>
                            </w:r>
                          </w:p>
                          <w:p>
                            <w:pPr>
                              <w:jc w:val="center"/>
                              <w:rPr>
                                <w:rFonts w:ascii="Times New Roman" w:hAnsi="Times New Roman" w:cs="Times New Roman"/>
                              </w:rPr>
                            </w:pPr>
                            <w:r>
                              <w:rPr>
                                <w:rFonts w:ascii="Times New Roman" w:hAnsi="Times New Roman" w:cs="Times New Roman"/>
                              </w:rPr>
                              <w:t>Pain assessment</w:t>
                            </w:r>
                          </w:p>
                          <w:p>
                            <w:pPr>
                              <w:jc w:val="center"/>
                              <w:rPr>
                                <w:rFonts w:ascii="Times New Roman" w:hAnsi="Times New Roman" w:cs="Times New Roman"/>
                              </w:rPr>
                            </w:pPr>
                            <w:r>
                              <w:rPr>
                                <w:rFonts w:ascii="Times New Roman" w:hAnsi="Times New Roman" w:cs="Times New Roman"/>
                              </w:rPr>
                              <w:t>Pain management</w:t>
                            </w:r>
                          </w:p>
                          <w:p>
                            <w:pPr>
                              <w:jc w:val="center"/>
                              <w:rPr>
                                <w:rFonts w:ascii="Times New Roman" w:hAnsi="Times New Roman" w:cs="Times New Roman"/>
                              </w:rPr>
                            </w:pPr>
                            <w:r>
                              <w:rPr>
                                <w:rFonts w:ascii="Times New Roman" w:hAnsi="Times New Roman" w:cs="Times New Roman"/>
                              </w:rPr>
                              <w:t xml:space="preserve">CPD on pain assessment </w:t>
                            </w:r>
                          </w:p>
                          <w:p>
                            <w:pPr>
                              <w:jc w:val="center"/>
                            </w:pP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8" o:spid="_x0000_s1026" o:spt="1" style="position:absolute;left:0pt;margin-left:15.9pt;margin-top:0.8pt;height:88.6pt;width:179.4pt;z-index:251668480;v-text-anchor:middle;mso-width-relative:page;mso-height-relative:page;" fillcolor="#FFFFFF [3201]" filled="t" stroked="t" coordsize="21600,21600" o:gfxdata="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UFKimNUAAAAIAQAADwAAAAAAAAABACAAAAAiAAAAZHJzL2Rvd25yZXYueG1s&#10;UEsBAhQAFAAAAAgAh07iQO0WfJRtAgAABQUAAA4AAAAAAAAAAQAgAAAAJAEAAGRycy9lMm9Eb2Mu&#10;eG1sUEsFBgAAAAAGAAYAWQEAAAMGAAAAAA==&#10;">
                <v:fill on="t" focussize="0,0"/>
                <v:stroke weight="1pt" color="#000000 [3200]" miterlimit="8" joinstyle="miter"/>
                <v:imagedata o:title=""/>
                <o:lock v:ext="edit" aspectratio="f"/>
                <v:textbox>
                  <w:txbxContent>
                    <w:p>
                      <w:pPr>
                        <w:jc w:val="center"/>
                        <w:rPr>
                          <w:rFonts w:ascii="Times New Roman" w:hAnsi="Times New Roman" w:cs="Times New Roman"/>
                          <w:b/>
                          <w:bCs/>
                        </w:rPr>
                      </w:pPr>
                      <w:r>
                        <w:rPr>
                          <w:rFonts w:ascii="Times New Roman" w:hAnsi="Times New Roman" w:cs="Times New Roman"/>
                          <w:b/>
                          <w:bCs/>
                        </w:rPr>
                        <w:t xml:space="preserve">Knowledge </w:t>
                      </w:r>
                    </w:p>
                    <w:p>
                      <w:pPr>
                        <w:jc w:val="center"/>
                        <w:rPr>
                          <w:rFonts w:ascii="Times New Roman" w:hAnsi="Times New Roman" w:cs="Times New Roman"/>
                        </w:rPr>
                      </w:pPr>
                      <w:r>
                        <w:rPr>
                          <w:rFonts w:ascii="Times New Roman" w:hAnsi="Times New Roman" w:cs="Times New Roman"/>
                        </w:rPr>
                        <w:t>Pain assessment</w:t>
                      </w:r>
                    </w:p>
                    <w:p>
                      <w:pPr>
                        <w:jc w:val="center"/>
                        <w:rPr>
                          <w:rFonts w:ascii="Times New Roman" w:hAnsi="Times New Roman" w:cs="Times New Roman"/>
                        </w:rPr>
                      </w:pPr>
                      <w:r>
                        <w:rPr>
                          <w:rFonts w:ascii="Times New Roman" w:hAnsi="Times New Roman" w:cs="Times New Roman"/>
                        </w:rPr>
                        <w:t>Pain management</w:t>
                      </w:r>
                    </w:p>
                    <w:p>
                      <w:pPr>
                        <w:jc w:val="center"/>
                        <w:rPr>
                          <w:rFonts w:ascii="Times New Roman" w:hAnsi="Times New Roman" w:cs="Times New Roman"/>
                        </w:rPr>
                      </w:pPr>
                      <w:r>
                        <w:rPr>
                          <w:rFonts w:ascii="Times New Roman" w:hAnsi="Times New Roman" w:cs="Times New Roman"/>
                        </w:rPr>
                        <w:t xml:space="preserve">CPD on pain assessment </w:t>
                      </w:r>
                    </w:p>
                    <w:p>
                      <w:pPr>
                        <w:jc w:val="center"/>
                      </w:pPr>
                    </w:p>
                    <w:p>
                      <w:pPr>
                        <w:jc w:val="center"/>
                      </w:pPr>
                    </w:p>
                  </w:txbxContent>
                </v:textbox>
              </v:rect>
            </w:pict>
          </mc:Fallback>
        </mc:AlternateContent>
      </w:r>
    </w:p>
    <w:p>
      <w:pPr>
        <w:spacing w:before="100" w:beforeAutospacing="1" w:after="100" w:afterAutospacing="1" w:line="480" w:lineRule="auto"/>
        <w:ind w:left="720" w:right="720" w:firstLine="720"/>
        <w:rPr>
          <w:rFonts w:ascii="Times New Roman" w:hAnsi="Times New Roman" w:cs="Times New Roman"/>
          <w:b/>
          <w:sz w:val="24"/>
          <w:szCs w:val="24"/>
        </w:rPr>
      </w:pPr>
      <w:r>
        <w:rPr>
          <w:rFonts w:ascii="Times New Roman" w:hAnsi="Times New Roman" w:cs="Times New Roman"/>
          <w:sz w:val="24"/>
          <w:szCs w:val="24"/>
        </w:rPr>
        <mc:AlternateContent>
          <mc:Choice Requires="wps">
            <w:drawing>
              <wp:anchor distT="0" distB="0" distL="114300" distR="114300" simplePos="0" relativeHeight="251674624" behindDoc="0" locked="0" layoutInCell="1" allowOverlap="1">
                <wp:simplePos x="0" y="0"/>
                <wp:positionH relativeFrom="column">
                  <wp:posOffset>5306060</wp:posOffset>
                </wp:positionH>
                <wp:positionV relativeFrom="paragraph">
                  <wp:posOffset>276225</wp:posOffset>
                </wp:positionV>
                <wp:extent cx="484505" cy="251460"/>
                <wp:effectExtent l="38100" t="19050" r="10795" b="15875"/>
                <wp:wrapNone/>
                <wp:docPr id="1124762974" name="Arrow: Up 2"/>
                <wp:cNvGraphicFramePr/>
                <a:graphic xmlns:a="http://schemas.openxmlformats.org/drawingml/2006/main">
                  <a:graphicData uri="http://schemas.microsoft.com/office/word/2010/wordprocessingShape">
                    <wps:wsp>
                      <wps:cNvSpPr/>
                      <wps:spPr>
                        <a:xfrm>
                          <a:off x="0" y="0"/>
                          <a:ext cx="484632" cy="251295"/>
                        </a:xfrm>
                        <a:prstGeom prst="upArrow">
                          <a:avLst/>
                        </a:prstGeom>
                      </wps:spPr>
                      <wps:style>
                        <a:lnRef idx="2">
                          <a:schemeClr val="dk1"/>
                        </a:lnRef>
                        <a:fillRef idx="1">
                          <a:schemeClr val="lt1"/>
                        </a:fillRef>
                        <a:effectRef idx="0">
                          <a:schemeClr val="dk1"/>
                        </a:effectRef>
                        <a:fontRef idx="minor">
                          <a:schemeClr val="dk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Arrow: Up 2" o:spid="_x0000_s1026" o:spt="68" type="#_x0000_t68" style="position:absolute;left:0pt;margin-left:417.8pt;margin-top:21.75pt;height:19.8pt;width:38.15pt;z-index:251674624;v-text-anchor:middle;mso-width-relative:page;mso-height-relative:page;" fillcolor="#FFFFFF [3201]" filled="t" stroked="t" coordsize="21600,21600" o:gfxdata="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BhWS/r2AAAAAkBAAAPAAAAAAAAAAEAIAAAACIAAABkcnMvZG93&#10;bnJldi54bWxQSwECFAAUAAAACACHTuJAd8g8MXICAAANBQAADgAAAAAAAAABACAAAAAnAQAAZHJz&#10;L2Uyb0RvYy54bWxQSwUGAAAAAAYABgBZAQAACwYAAAAA&#10;" adj="10800,5400">
                <v:fill on="t" focussize="0,0"/>
                <v:stroke weight="1pt" color="#000000 [3200]" miterlimit="8" joinstyle="miter"/>
                <v:imagedata o:title=""/>
                <o:lock v:ext="edit" aspectratio="f"/>
                <v:textbox>
                  <w:txbxContent>
                    <w:p>
                      <w:pPr>
                        <w:jc w:val="center"/>
                      </w:pP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71552" behindDoc="0" locked="0" layoutInCell="1" allowOverlap="1">
                <wp:simplePos x="0" y="0"/>
                <wp:positionH relativeFrom="column">
                  <wp:posOffset>734060</wp:posOffset>
                </wp:positionH>
                <wp:positionV relativeFrom="paragraph">
                  <wp:posOffset>440690</wp:posOffset>
                </wp:positionV>
                <wp:extent cx="484505" cy="270510"/>
                <wp:effectExtent l="38100" t="0" r="0" b="34925"/>
                <wp:wrapNone/>
                <wp:docPr id="43" name="Arrow: Down 43"/>
                <wp:cNvGraphicFramePr/>
                <a:graphic xmlns:a="http://schemas.openxmlformats.org/drawingml/2006/main">
                  <a:graphicData uri="http://schemas.microsoft.com/office/word/2010/wordprocessingShape">
                    <wps:wsp>
                      <wps:cNvSpPr/>
                      <wps:spPr>
                        <a:xfrm>
                          <a:off x="0" y="0"/>
                          <a:ext cx="484505" cy="270344"/>
                        </a:xfrm>
                        <a:prstGeom prst="downArrow">
                          <a:avLst/>
                        </a:prstGeom>
                      </wps:spPr>
                      <wps:style>
                        <a:lnRef idx="2">
                          <a:schemeClr val="dk1"/>
                        </a:lnRef>
                        <a:fillRef idx="1">
                          <a:schemeClr val="lt1"/>
                        </a:fillRef>
                        <a:effectRef idx="0">
                          <a:schemeClr val="dk1"/>
                        </a:effectRef>
                        <a:fontRef idx="minor">
                          <a:schemeClr val="dk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Arrow: Down 43" o:spid="_x0000_s1026" o:spt="67" type="#_x0000_t67" style="position:absolute;left:0pt;margin-left:57.8pt;margin-top:34.7pt;height:21.3pt;width:38.15pt;z-index:251671552;v-text-anchor:middle;mso-width-relative:page;mso-height-relative:page;" fillcolor="#FFFFFF [3201]" filled="t" stroked="t" coordsize="21600,21600" o:gfxdata="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M9HdoDYAAAACgEAAA8AAAAAAAAAAQAgAAAAIgAAAGRycy9kb3ducmV2&#10;LnhtbFBLAQIUABQAAAAIAIdO4kCkBSDLbgIAAAoFAAAOAAAAAAAAAAEAIAAAACcBAABkcnMvZTJv&#10;RG9jLnhtbFBLBQYAAAAABgAGAFkBAAAHBgAAAAA=&#10;" adj="10800,5400">
                <v:fill on="t" focussize="0,0"/>
                <v:stroke weight="1pt" color="#000000 [3200]" miterlimit="8" joinstyle="miter"/>
                <v:imagedata o:title=""/>
                <o:lock v:ext="edit" aspectratio="f"/>
                <v:textbox>
                  <w:txbxContent>
                    <w:p>
                      <w:pPr>
                        <w:jc w:val="center"/>
                      </w:pPr>
                    </w:p>
                  </w:txbxContent>
                </v:textbox>
              </v:shape>
            </w:pict>
          </mc:Fallback>
        </mc:AlternateContent>
      </w:r>
    </w:p>
    <w:p>
      <w:pPr>
        <w:spacing w:before="100" w:beforeAutospacing="1" w:after="100" w:afterAutospacing="1" w:line="480" w:lineRule="auto"/>
        <w:ind w:left="720" w:right="720" w:firstLine="720"/>
        <w:rPr>
          <w:rFonts w:ascii="Times New Roman" w:hAnsi="Times New Roman" w:cs="Times New Roman"/>
          <w:b/>
          <w:sz w:val="24"/>
          <w:szCs w:val="24"/>
        </w:rPr>
      </w:pPr>
      <w:r>
        <w:rPr>
          <w:rFonts w:ascii="Times New Roman" w:hAnsi="Times New Roman" w:cs="Times New Roman"/>
          <w:sz w:val="24"/>
          <w:szCs w:val="24"/>
        </w:rPr>
        <mc:AlternateContent>
          <mc:Choice Requires="wps">
            <w:drawing>
              <wp:anchor distT="0" distB="0" distL="114300" distR="114300" simplePos="0" relativeHeight="251669504" behindDoc="0" locked="0" layoutInCell="1" allowOverlap="1">
                <wp:simplePos x="0" y="0"/>
                <wp:positionH relativeFrom="margin">
                  <wp:align>left</wp:align>
                </wp:positionH>
                <wp:positionV relativeFrom="paragraph">
                  <wp:posOffset>184785</wp:posOffset>
                </wp:positionV>
                <wp:extent cx="2463165" cy="1790700"/>
                <wp:effectExtent l="0" t="0" r="13335" b="19050"/>
                <wp:wrapNone/>
                <wp:docPr id="42" name="Rectangle 42"/>
                <wp:cNvGraphicFramePr/>
                <a:graphic xmlns:a="http://schemas.openxmlformats.org/drawingml/2006/main">
                  <a:graphicData uri="http://schemas.microsoft.com/office/word/2010/wordprocessingShape">
                    <wps:wsp>
                      <wps:cNvSpPr/>
                      <wps:spPr>
                        <a:xfrm>
                          <a:off x="0" y="0"/>
                          <a:ext cx="2463165" cy="1790700"/>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b/>
                                <w:bCs/>
                              </w:rPr>
                            </w:pPr>
                            <w:r>
                              <w:rPr>
                                <w:b/>
                                <w:bCs/>
                              </w:rPr>
                              <w:t xml:space="preserve">Attitude </w:t>
                            </w:r>
                          </w:p>
                          <w:p>
                            <w:pPr>
                              <w:jc w:val="center"/>
                              <w:rPr>
                                <w:rFonts w:ascii="Times New Roman" w:hAnsi="Times New Roman" w:cs="Times New Roman"/>
                              </w:rPr>
                            </w:pPr>
                            <w:r>
                              <w:rPr>
                                <w:rFonts w:ascii="Times New Roman" w:hAnsi="Times New Roman" w:cs="Times New Roman"/>
                              </w:rPr>
                              <w:t>Opinion on pain assessment</w:t>
                            </w:r>
                          </w:p>
                          <w:p>
                            <w:pPr>
                              <w:jc w:val="center"/>
                              <w:rPr>
                                <w:rFonts w:ascii="Times New Roman" w:hAnsi="Times New Roman" w:cs="Times New Roman"/>
                              </w:rPr>
                            </w:pPr>
                            <w:r>
                              <w:rPr>
                                <w:rFonts w:ascii="Times New Roman" w:hAnsi="Times New Roman" w:cs="Times New Roman"/>
                              </w:rPr>
                              <w:t>Nurses’ belief on pain mgt.</w:t>
                            </w:r>
                          </w:p>
                          <w:p>
                            <w:pPr>
                              <w:jc w:val="center"/>
                              <w:rPr>
                                <w:rFonts w:ascii="Times New Roman" w:hAnsi="Times New Roman" w:cs="Times New Roman"/>
                              </w:rPr>
                            </w:pPr>
                            <w:r>
                              <w:rPr>
                                <w:rFonts w:ascii="Times New Roman" w:hAnsi="Times New Roman" w:cs="Times New Roman"/>
                              </w:rPr>
                              <w:t>Perception about pain &amp; opioids</w:t>
                            </w:r>
                          </w:p>
                          <w:p>
                            <w:pPr>
                              <w:jc w:val="center"/>
                              <w:rPr>
                                <w:rFonts w:ascii="Times New Roman" w:hAnsi="Times New Roman" w:cs="Times New Roman"/>
                              </w:rPr>
                            </w:pPr>
                            <w:r>
                              <w:rPr>
                                <w:rFonts w:ascii="Times New Roman" w:hAnsi="Times New Roman" w:cs="Times New Roman"/>
                              </w:rPr>
                              <w:t xml:space="preserve">Cultural issues </w:t>
                            </w:r>
                          </w:p>
                          <w:p>
                            <w:pPr>
                              <w:jc w:val="center"/>
                            </w:pPr>
                            <w:r>
                              <w:rPr>
                                <w:rFonts w:ascii="Times New Roman" w:hAnsi="Times New Roman" w:cs="Times New Roman"/>
                              </w:rPr>
                              <w:t>Experience on working at surgical ward.</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2" o:spid="_x0000_s1026" o:spt="1" style="position:absolute;left:0pt;margin-top:14.55pt;height:141pt;width:193.95pt;mso-position-horizontal:left;mso-position-horizontal-relative:margin;z-index:251669504;v-text-anchor:middle;mso-width-relative:page;mso-height-relative:page;" fillcolor="#FFFFFF [3201]" filled="t" stroked="t" coordsize="21600,21600" o:gfxdata="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gAP+Y9UAAAAHAQAADwAAAAAAAAABACAAAAAiAAAAZHJzL2Rvd25yZXYueG1s&#10;UEsBAhQAFAAAAAgAh07iQBUhRqRtAgAABQUAAA4AAAAAAAAAAQAgAAAAJAEAAGRycy9lMm9Eb2Mu&#10;eG1sUEsFBgAAAAAGAAYAWQEAAAMGAAAAAA==&#10;">
                <v:fill on="t" focussize="0,0"/>
                <v:stroke weight="1pt" color="#000000 [3200]" miterlimit="8" joinstyle="miter"/>
                <v:imagedata o:title=""/>
                <o:lock v:ext="edit" aspectratio="f"/>
                <v:textbox>
                  <w:txbxContent>
                    <w:p>
                      <w:pPr>
                        <w:jc w:val="center"/>
                        <w:rPr>
                          <w:b/>
                          <w:bCs/>
                        </w:rPr>
                      </w:pPr>
                      <w:r>
                        <w:rPr>
                          <w:b/>
                          <w:bCs/>
                        </w:rPr>
                        <w:t xml:space="preserve">Attitude </w:t>
                      </w:r>
                    </w:p>
                    <w:p>
                      <w:pPr>
                        <w:jc w:val="center"/>
                        <w:rPr>
                          <w:rFonts w:ascii="Times New Roman" w:hAnsi="Times New Roman" w:cs="Times New Roman"/>
                        </w:rPr>
                      </w:pPr>
                      <w:r>
                        <w:rPr>
                          <w:rFonts w:ascii="Times New Roman" w:hAnsi="Times New Roman" w:cs="Times New Roman"/>
                        </w:rPr>
                        <w:t>Opinion on pain assessment</w:t>
                      </w:r>
                    </w:p>
                    <w:p>
                      <w:pPr>
                        <w:jc w:val="center"/>
                        <w:rPr>
                          <w:rFonts w:ascii="Times New Roman" w:hAnsi="Times New Roman" w:cs="Times New Roman"/>
                        </w:rPr>
                      </w:pPr>
                      <w:r>
                        <w:rPr>
                          <w:rFonts w:ascii="Times New Roman" w:hAnsi="Times New Roman" w:cs="Times New Roman"/>
                        </w:rPr>
                        <w:t>Nurses’ belief on pain mgt.</w:t>
                      </w:r>
                    </w:p>
                    <w:p>
                      <w:pPr>
                        <w:jc w:val="center"/>
                        <w:rPr>
                          <w:rFonts w:ascii="Times New Roman" w:hAnsi="Times New Roman" w:cs="Times New Roman"/>
                        </w:rPr>
                      </w:pPr>
                      <w:r>
                        <w:rPr>
                          <w:rFonts w:ascii="Times New Roman" w:hAnsi="Times New Roman" w:cs="Times New Roman"/>
                        </w:rPr>
                        <w:t>Perception about pain &amp; opioids</w:t>
                      </w:r>
                    </w:p>
                    <w:p>
                      <w:pPr>
                        <w:jc w:val="center"/>
                        <w:rPr>
                          <w:rFonts w:ascii="Times New Roman" w:hAnsi="Times New Roman" w:cs="Times New Roman"/>
                        </w:rPr>
                      </w:pPr>
                      <w:r>
                        <w:rPr>
                          <w:rFonts w:ascii="Times New Roman" w:hAnsi="Times New Roman" w:cs="Times New Roman"/>
                        </w:rPr>
                        <w:t xml:space="preserve">Cultural issues </w:t>
                      </w:r>
                    </w:p>
                    <w:p>
                      <w:pPr>
                        <w:jc w:val="center"/>
                      </w:pPr>
                      <w:r>
                        <w:rPr>
                          <w:rFonts w:ascii="Times New Roman" w:hAnsi="Times New Roman" w:cs="Times New Roman"/>
                        </w:rPr>
                        <w:t>Experience on working at surgical ward.</w:t>
                      </w:r>
                    </w:p>
                  </w:txbxContent>
                </v:textbox>
              </v:rect>
            </w:pict>
          </mc:Fallback>
        </mc:AlternateContent>
      </w:r>
      <w:r>
        <w:rPr>
          <w:rFonts w:ascii="Times New Roman" w:hAnsi="Times New Roman" w:cs="Times New Roman"/>
          <w:b/>
          <w:bCs/>
        </w:rPr>
        <mc:AlternateContent>
          <mc:Choice Requires="wps">
            <w:drawing>
              <wp:anchor distT="0" distB="0" distL="114300" distR="114300" simplePos="0" relativeHeight="251675648" behindDoc="0" locked="0" layoutInCell="1" allowOverlap="1">
                <wp:simplePos x="0" y="0"/>
                <wp:positionH relativeFrom="margin">
                  <wp:posOffset>2458720</wp:posOffset>
                </wp:positionH>
                <wp:positionV relativeFrom="paragraph">
                  <wp:posOffset>648970</wp:posOffset>
                </wp:positionV>
                <wp:extent cx="1094740" cy="426085"/>
                <wp:effectExtent l="0" t="19050" r="29210" b="31115"/>
                <wp:wrapNone/>
                <wp:docPr id="1477008883" name="Arrow: Right 1"/>
                <wp:cNvGraphicFramePr/>
                <a:graphic xmlns:a="http://schemas.openxmlformats.org/drawingml/2006/main">
                  <a:graphicData uri="http://schemas.microsoft.com/office/word/2010/wordprocessingShape">
                    <wps:wsp>
                      <wps:cNvSpPr/>
                      <wps:spPr>
                        <a:xfrm>
                          <a:off x="0" y="0"/>
                          <a:ext cx="1094740" cy="426223"/>
                        </a:xfrm>
                        <a:prstGeom prst="rightArrow">
                          <a:avLst>
                            <a:gd name="adj1" fmla="val 50000"/>
                            <a:gd name="adj2" fmla="val 56142"/>
                          </a:avLst>
                        </a:prstGeom>
                        <a:solidFill>
                          <a:sysClr val="window" lastClr="FFFFFF"/>
                        </a:solidFill>
                        <a:ln w="12700" cap="flat" cmpd="sng" algn="ctr">
                          <a:solidFill>
                            <a:sysClr val="windowText" lastClr="000000"/>
                          </a:solidFill>
                          <a:prstDash val="solid"/>
                          <a:miter lim="800000"/>
                        </a:ln>
                        <a:effectLst/>
                      </wps:spPr>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Arrow: Right 1" o:spid="_x0000_s1026" o:spt="13" type="#_x0000_t13" style="position:absolute;left:0pt;margin-left:193.6pt;margin-top:51.1pt;height:33.55pt;width:86.2pt;mso-position-horizontal-relative:margin;z-index:251675648;v-text-anchor:middle;mso-width-relative:page;mso-height-relative:page;" fillcolor="#FFFFFF" filled="t" stroked="t" coordsize="21600,21600" o:gfxdata="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fS/8n2QAAAAsBAAAPAAAAAAAAAAEAIAAAACIAAABkcnMv&#10;ZG93bnJldi54bWxQSwECFAAUAAAACACHTuJAQhB0Tq0CAACXBQAADgAAAAAAAAABACAAAAAoAQAA&#10;ZHJzL2Uyb0RvYy54bWxQSwUGAAAAAAYABgBZAQAARwYAAAAA&#10;" adj="16879,5400">
                <v:fill on="t" focussize="0,0"/>
                <v:stroke weight="1pt" color="#000000" miterlimit="8" joinstyle="miter"/>
                <v:imagedata o:title=""/>
                <o:lock v:ext="edit" aspectratio="f"/>
                <v:textbox>
                  <w:txbxContent>
                    <w:p>
                      <w:pPr>
                        <w:jc w:val="center"/>
                      </w:pP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72576" behindDoc="0" locked="0" layoutInCell="1" allowOverlap="1">
                <wp:simplePos x="0" y="0"/>
                <wp:positionH relativeFrom="margin">
                  <wp:posOffset>3569970</wp:posOffset>
                </wp:positionH>
                <wp:positionV relativeFrom="paragraph">
                  <wp:posOffset>7620</wp:posOffset>
                </wp:positionV>
                <wp:extent cx="2733675" cy="1685925"/>
                <wp:effectExtent l="0" t="0" r="28575" b="10160"/>
                <wp:wrapNone/>
                <wp:docPr id="46" name="Rectangle 46"/>
                <wp:cNvGraphicFramePr/>
                <a:graphic xmlns:a="http://schemas.openxmlformats.org/drawingml/2006/main">
                  <a:graphicData uri="http://schemas.microsoft.com/office/word/2010/wordprocessingShape">
                    <wps:wsp>
                      <wps:cNvSpPr/>
                      <wps:spPr>
                        <a:xfrm>
                          <a:off x="0" y="0"/>
                          <a:ext cx="2733675" cy="1685677"/>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cs="Times New Roman"/>
                                <w:b/>
                                <w:bCs/>
                              </w:rPr>
                            </w:pPr>
                            <w:r>
                              <w:rPr>
                                <w:rFonts w:ascii="Times New Roman" w:hAnsi="Times New Roman" w:cs="Times New Roman"/>
                                <w:b/>
                                <w:bCs/>
                              </w:rPr>
                              <w:t xml:space="preserve">Practices </w:t>
                            </w:r>
                          </w:p>
                          <w:p>
                            <w:pPr>
                              <w:jc w:val="center"/>
                              <w:rPr>
                                <w:rFonts w:ascii="Times New Roman" w:hAnsi="Times New Roman" w:cs="Times New Roman"/>
                              </w:rPr>
                            </w:pPr>
                            <w:r>
                              <w:rPr>
                                <w:rFonts w:ascii="Times New Roman" w:hAnsi="Times New Roman" w:cs="Times New Roman"/>
                              </w:rPr>
                              <w:t xml:space="preserve">Working experience </w:t>
                            </w:r>
                          </w:p>
                          <w:p>
                            <w:pPr>
                              <w:jc w:val="center"/>
                              <w:rPr>
                                <w:rFonts w:ascii="Times New Roman" w:hAnsi="Times New Roman" w:cs="Times New Roman"/>
                              </w:rPr>
                            </w:pPr>
                            <w:r>
                              <w:rPr>
                                <w:rFonts w:ascii="Times New Roman" w:hAnsi="Times New Roman" w:cs="Times New Roman"/>
                              </w:rPr>
                              <w:t xml:space="preserve">Experience on working at surgical ward. </w:t>
                            </w:r>
                          </w:p>
                          <w:p>
                            <w:pPr>
                              <w:jc w:val="center"/>
                              <w:rPr>
                                <w:rFonts w:ascii="Times New Roman" w:hAnsi="Times New Roman" w:cs="Times New Roman"/>
                              </w:rPr>
                            </w:pPr>
                            <w:r>
                              <w:rPr>
                                <w:rFonts w:ascii="Times New Roman" w:hAnsi="Times New Roman" w:cs="Times New Roman"/>
                              </w:rPr>
                              <w:t xml:space="preserve">Experience on carrying out pain assessment.  </w:t>
                            </w:r>
                          </w:p>
                          <w:p>
                            <w:pPr>
                              <w:jc w:val="center"/>
                              <w:rPr>
                                <w:rFonts w:ascii="Times New Roman" w:hAnsi="Times New Roman" w:cs="Times New Roman"/>
                              </w:rPr>
                            </w:pPr>
                            <w:r>
                              <w:rPr>
                                <w:rFonts w:ascii="Times New Roman" w:hAnsi="Times New Roman" w:cs="Times New Roman"/>
                              </w:rPr>
                              <w:t>Use of pain assessment tools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6" o:spid="_x0000_s1026" o:spt="1" style="position:absolute;left:0pt;margin-left:281.1pt;margin-top:0.6pt;height:132.75pt;width:215.25pt;mso-position-horizontal-relative:margin;z-index:251672576;v-text-anchor:middle;mso-width-relative:page;mso-height-relative:page;" fillcolor="#FFFFFF [3201]" filled="t" stroked="t" coordsize="21600,21600" o:gfxdata="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I8s1KrWAAAACQEAAA8AAAAAAAAAAQAgAAAAIgAAAGRycy9kb3ducmV2Lnht&#10;bFBLAQIUABQAAAAIAIdO4kCOrhCVbQIAAAUFAAAOAAAAAAAAAAEAIAAAACUBAABkcnMvZTJvRG9j&#10;LnhtbFBLBQYAAAAABgAGAFkBAAAEBgAAAAA=&#10;">
                <v:fill on="t" focussize="0,0"/>
                <v:stroke weight="1pt" color="#000000 [3200]" miterlimit="8" joinstyle="miter"/>
                <v:imagedata o:title=""/>
                <o:lock v:ext="edit" aspectratio="f"/>
                <v:textbox>
                  <w:txbxContent>
                    <w:p>
                      <w:pPr>
                        <w:jc w:val="center"/>
                        <w:rPr>
                          <w:rFonts w:ascii="Times New Roman" w:hAnsi="Times New Roman" w:cs="Times New Roman"/>
                          <w:b/>
                          <w:bCs/>
                        </w:rPr>
                      </w:pPr>
                      <w:r>
                        <w:rPr>
                          <w:rFonts w:ascii="Times New Roman" w:hAnsi="Times New Roman" w:cs="Times New Roman"/>
                          <w:b/>
                          <w:bCs/>
                        </w:rPr>
                        <w:t xml:space="preserve">Practices </w:t>
                      </w:r>
                    </w:p>
                    <w:p>
                      <w:pPr>
                        <w:jc w:val="center"/>
                        <w:rPr>
                          <w:rFonts w:ascii="Times New Roman" w:hAnsi="Times New Roman" w:cs="Times New Roman"/>
                        </w:rPr>
                      </w:pPr>
                      <w:r>
                        <w:rPr>
                          <w:rFonts w:ascii="Times New Roman" w:hAnsi="Times New Roman" w:cs="Times New Roman"/>
                        </w:rPr>
                        <w:t xml:space="preserve">Working experience </w:t>
                      </w:r>
                    </w:p>
                    <w:p>
                      <w:pPr>
                        <w:jc w:val="center"/>
                        <w:rPr>
                          <w:rFonts w:ascii="Times New Roman" w:hAnsi="Times New Roman" w:cs="Times New Roman"/>
                        </w:rPr>
                      </w:pPr>
                      <w:r>
                        <w:rPr>
                          <w:rFonts w:ascii="Times New Roman" w:hAnsi="Times New Roman" w:cs="Times New Roman"/>
                        </w:rPr>
                        <w:t xml:space="preserve">Experience on working at surgical ward. </w:t>
                      </w:r>
                    </w:p>
                    <w:p>
                      <w:pPr>
                        <w:jc w:val="center"/>
                        <w:rPr>
                          <w:rFonts w:ascii="Times New Roman" w:hAnsi="Times New Roman" w:cs="Times New Roman"/>
                        </w:rPr>
                      </w:pPr>
                      <w:r>
                        <w:rPr>
                          <w:rFonts w:ascii="Times New Roman" w:hAnsi="Times New Roman" w:cs="Times New Roman"/>
                        </w:rPr>
                        <w:t xml:space="preserve">Experience on carrying out pain assessment.  </w:t>
                      </w:r>
                    </w:p>
                    <w:p>
                      <w:pPr>
                        <w:jc w:val="center"/>
                        <w:rPr>
                          <w:rFonts w:ascii="Times New Roman" w:hAnsi="Times New Roman" w:cs="Times New Roman"/>
                        </w:rPr>
                      </w:pPr>
                      <w:r>
                        <w:rPr>
                          <w:rFonts w:ascii="Times New Roman" w:hAnsi="Times New Roman" w:cs="Times New Roman"/>
                        </w:rPr>
                        <w:t>Use of pain assessment tools</w:t>
                      </w:r>
                    </w:p>
                  </w:txbxContent>
                </v:textbox>
              </v:rect>
            </w:pict>
          </mc:Fallback>
        </mc:AlternateContent>
      </w:r>
    </w:p>
    <w:p>
      <w:pPr>
        <w:pStyle w:val="4"/>
        <w:ind w:left="720" w:right="720" w:firstLine="720"/>
        <w:rPr>
          <w:rFonts w:ascii="Times New Roman" w:hAnsi="Times New Roman" w:cs="Times New Roman"/>
          <w:b/>
          <w:bCs/>
          <w:color w:val="auto"/>
        </w:rPr>
      </w:pPr>
      <w:bookmarkStart w:id="48" w:name="_Toc134608268"/>
      <w:bookmarkStart w:id="49" w:name="_Toc134604137"/>
    </w:p>
    <w:p>
      <w:pPr>
        <w:pStyle w:val="4"/>
        <w:ind w:left="720" w:right="720" w:firstLine="720"/>
        <w:rPr>
          <w:rFonts w:ascii="Times New Roman" w:hAnsi="Times New Roman" w:cs="Times New Roman"/>
          <w:b/>
          <w:bCs/>
          <w:color w:val="auto"/>
        </w:rPr>
      </w:pPr>
    </w:p>
    <w:p>
      <w:pPr>
        <w:pStyle w:val="4"/>
        <w:ind w:left="720" w:right="720" w:firstLine="720"/>
        <w:rPr>
          <w:rFonts w:ascii="Times New Roman" w:hAnsi="Times New Roman" w:cs="Times New Roman"/>
          <w:b/>
          <w:bCs/>
          <w:color w:val="auto"/>
        </w:rPr>
      </w:pPr>
    </w:p>
    <w:p>
      <w:pPr>
        <w:pStyle w:val="4"/>
        <w:ind w:left="720" w:right="720" w:firstLine="720"/>
        <w:rPr>
          <w:rFonts w:ascii="Times New Roman" w:hAnsi="Times New Roman" w:cs="Times New Roman"/>
          <w:b/>
          <w:bCs/>
          <w:color w:val="auto"/>
        </w:rPr>
      </w:pPr>
    </w:p>
    <w:p>
      <w:pPr>
        <w:pStyle w:val="4"/>
        <w:ind w:left="720" w:right="720" w:firstLine="720"/>
        <w:rPr>
          <w:rFonts w:ascii="Times New Roman" w:hAnsi="Times New Roman" w:cs="Times New Roman"/>
          <w:b/>
          <w:bCs/>
          <w:color w:val="auto"/>
        </w:rPr>
      </w:pPr>
    </w:p>
    <w:p/>
    <w:p/>
    <w:p>
      <w:pPr>
        <w:pStyle w:val="4"/>
        <w:ind w:left="720" w:right="720" w:firstLine="720"/>
        <w:rPr>
          <w:rFonts w:ascii="Times New Roman" w:hAnsi="Times New Roman" w:cs="Times New Roman"/>
          <w:b/>
          <w:bCs/>
          <w:color w:val="auto"/>
        </w:rPr>
      </w:pPr>
      <w:bookmarkStart w:id="50" w:name="_Toc142753389"/>
      <w:r>
        <w:rPr>
          <w:rFonts w:ascii="Times New Roman" w:hAnsi="Times New Roman" w:cs="Times New Roman"/>
          <w:b/>
          <w:bCs/>
          <w:color w:val="auto"/>
        </w:rPr>
        <w:t>The conceptual framework is described.</w:t>
      </w:r>
      <w:bookmarkEnd w:id="48"/>
      <w:bookmarkEnd w:id="49"/>
      <w:bookmarkEnd w:id="50"/>
    </w:p>
    <w:p>
      <w:pPr>
        <w:tabs>
          <w:tab w:val="left" w:pos="90"/>
        </w:tabs>
        <w:spacing w:before="100" w:beforeAutospacing="1" w:after="100" w:afterAutospacing="1" w:line="480" w:lineRule="auto"/>
        <w:ind w:left="90"/>
        <w:jc w:val="both"/>
        <w:rPr>
          <w:rFonts w:ascii="Times New Roman" w:hAnsi="Times New Roman" w:cs="Times New Roman"/>
          <w:b/>
          <w:bCs/>
          <w:sz w:val="24"/>
          <w:szCs w:val="24"/>
        </w:rPr>
      </w:pPr>
      <w:r>
        <w:rPr>
          <w:rFonts w:ascii="Times New Roman" w:hAnsi="Times New Roman" w:cs="Times New Roman"/>
          <w:sz w:val="24"/>
          <w:szCs w:val="24"/>
        </w:rPr>
        <w:tab/>
      </w:r>
      <w:r>
        <w:rPr>
          <w:rFonts w:ascii="Times New Roman" w:hAnsi="Times New Roman" w:cs="Times New Roman"/>
          <w:sz w:val="24"/>
          <w:szCs w:val="24"/>
        </w:rPr>
        <w:t>The conceptual framework explains how the dependent and independent variables are related. Post-operative pain management is the dependent variable, and nurses' knowledge, attitude, and practice are the independent variables. On the dependent variable, the independent factors have an effect. The nurse’s knowledge on pain assessment, use of pain scale, pain management, and the continuous professional education development and audits have an impact on post-operative pain management.</w:t>
      </w:r>
    </w:p>
    <w:p>
      <w:pPr>
        <w:tabs>
          <w:tab w:val="left" w:pos="9360"/>
        </w:tabs>
        <w:spacing w:before="100" w:beforeAutospacing="1" w:after="100" w:afterAutospacing="1" w:line="480" w:lineRule="auto"/>
        <w:ind w:firstLine="630"/>
        <w:jc w:val="both"/>
        <w:rPr>
          <w:rFonts w:ascii="Times New Roman" w:hAnsi="Times New Roman" w:cs="Times New Roman"/>
          <w:b/>
          <w:bCs/>
          <w:sz w:val="24"/>
          <w:szCs w:val="24"/>
        </w:rPr>
      </w:pPr>
      <w:r>
        <w:rPr>
          <w:rFonts w:ascii="Times New Roman" w:hAnsi="Times New Roman" w:cs="Times New Roman"/>
          <w:sz w:val="24"/>
          <w:szCs w:val="24"/>
        </w:rPr>
        <w:t>Similarly, the nurse’s attitude as regards opinion on pain assessment, beliefs on pain management, perception about pain and opioids, and cultural issues impact post-operative pain management. The positive attitude of the nurses will inspire them to carry out pain assessment and thereafter manage it to tolerable levels among post-operative patients. Additionally, nursing practices in relation to the experience in assessing and managing pain, working experience, experience on working at the surgical ward, and the confidence in the use of pain assessment tools will influence the nurse’s practice of pain assessment and management.</w:t>
      </w:r>
    </w:p>
    <w:p>
      <w:pPr>
        <w:pStyle w:val="3"/>
        <w:rPr>
          <w:rFonts w:ascii="Times New Roman" w:hAnsi="Times New Roman" w:cs="Times New Roman"/>
          <w:b w:val="0"/>
          <w:sz w:val="24"/>
          <w:szCs w:val="24"/>
        </w:rPr>
      </w:pPr>
      <w:bookmarkStart w:id="51" w:name="_Toc142753390"/>
      <w:bookmarkStart w:id="52" w:name="_Toc134604138"/>
      <w:r>
        <w:rPr>
          <w:rFonts w:ascii="Times New Roman" w:hAnsi="Times New Roman" w:cs="Times New Roman"/>
          <w:sz w:val="24"/>
          <w:szCs w:val="24"/>
        </w:rPr>
        <w:t>Theoretical Framework</w:t>
      </w:r>
      <w:bookmarkEnd w:id="51"/>
      <w:bookmarkEnd w:id="52"/>
    </w:p>
    <w:p>
      <w:pPr>
        <w:tabs>
          <w:tab w:val="left" w:pos="9360"/>
        </w:tabs>
        <w:spacing w:before="100" w:beforeAutospacing="1" w:after="100" w:afterAutospacing="1" w:line="480" w:lineRule="auto"/>
        <w:ind w:firstLine="630"/>
        <w:jc w:val="both"/>
        <w:rPr>
          <w:rFonts w:ascii="Times New Roman" w:hAnsi="Times New Roman" w:cs="Times New Roman"/>
          <w:sz w:val="24"/>
          <w:szCs w:val="24"/>
        </w:rPr>
      </w:pPr>
      <w:r>
        <w:rPr>
          <w:rFonts w:ascii="Times New Roman" w:hAnsi="Times New Roman" w:cs="Times New Roman"/>
          <w:color w:val="212529"/>
          <w:sz w:val="24"/>
          <w:szCs w:val="24"/>
        </w:rPr>
        <w:t>The theoretical framework is based on tried-and-true hypotheses that represent the results of various inquiries into the causes of events. The theoretical framework offers a broad depiction of how several elements interact in a particular phenomenon. Clinical coaching in nursing and midwifery by</w:t>
      </w:r>
      <w:r>
        <w:rPr>
          <w:rFonts w:ascii="Times New Roman" w:hAnsi="Times New Roman" w:cs="Times New Roman"/>
          <w:b/>
          <w:color w:val="212529"/>
          <w:sz w:val="24"/>
          <w:szCs w:val="24"/>
        </w:rPr>
        <w:t xml:space="preserve"> </w:t>
      </w:r>
      <w:r>
        <w:rPr>
          <w:rFonts w:ascii="Times New Roman" w:hAnsi="Times New Roman" w:cs="Times New Roman"/>
          <w:bCs/>
          <w:color w:val="212529"/>
          <w:sz w:val="24"/>
          <w:szCs w:val="24"/>
        </w:rPr>
        <w:fldChar w:fldCharType="begin" w:fldLock="1"/>
      </w:r>
      <w:r>
        <w:rPr>
          <w:rFonts w:ascii="Times New Roman" w:hAnsi="Times New Roman" w:cs="Times New Roman"/>
          <w:bCs/>
          <w:color w:val="212529"/>
          <w:sz w:val="24"/>
          <w:szCs w:val="24"/>
        </w:rPr>
        <w:instrText xml:space="preserve">ADDIN CSL_CITATION {"citationItems":[{"id":"ITEM-1","itemData":{"abstract":"Contemporary demands for workplace learning and development in real time have guided one health service to create a new role, that of the clinical coach. Clinical coaches provide point of care educational interventions to achieve clinical skill and practice development for nurses and midwives and to stimulate a culture of learning and development within the organisation. Clinical coaches use coaching processes and mantras, facilitation skills, practice development principles, adult learning strategies, supported practice and clinical assessment tools to achieve these goals within a person-centred philosophy. Specific point of care accountabilities of the coaches related to staff development include supporting clinical induction requirements, supporting preceptor and learner practices, supporting evidence-based clinical development, ensuring that mandatory training requirements are met, and coaching for the maintenance of safe and competent practice.","author":[{"dropping-particle":"","family":"A.Faithfull-Byrne, L. Thompson, K., w. Scafer, M. Williamson, W. Cross","given":"C. Moss","non-dropping-particle":"","parse-names":false,"suffix":""}],"container-title":"Australian College of Nursing","id":"ITEM-1","issued":{"date-parts":[["2017"]]},"title":"Clinical coaches in nursing and midwifery practice: Facilitating point of care workplace learning and development","type":"article-journal"},"uris":["http://www.mendeley.com/documents/?uuid=c4b8235f-acf7-4724-ba90-090c6338c036"]}],"mendeley":{"formattedCitation":"(A.Faithfull-Byrne, L. Thompson, K., w. Scafer, M. Williamson, W. Cross, 2017)","manualFormatting":"Faithfull-Byrne, Thompson, Schafer, Williamson and Cross (2017)","plainTextFormattedCitation":"(A.Faithfull-Byrne, L. Thompson, K., w. Scafer, M. Williamson, W. Cross, 2017)","previouslyFormattedCitation":"(A.Faithfull-Byrne, L. Thompson, K., w. Scafer, M. Williamson, W. Cross, 2017)"},"properties":{"noteIndex":0},"schema":"https://github.com/citation-style-language/schema/raw/master/csl-citation.json"}</w:instrText>
      </w:r>
      <w:r>
        <w:rPr>
          <w:rFonts w:ascii="Times New Roman" w:hAnsi="Times New Roman" w:cs="Times New Roman"/>
          <w:bCs/>
          <w:color w:val="212529"/>
          <w:sz w:val="24"/>
          <w:szCs w:val="24"/>
        </w:rPr>
        <w:fldChar w:fldCharType="separate"/>
      </w:r>
      <w:r>
        <w:rPr>
          <w:rFonts w:ascii="Times New Roman" w:hAnsi="Times New Roman" w:cs="Times New Roman"/>
          <w:bCs/>
          <w:color w:val="212529"/>
          <w:sz w:val="24"/>
          <w:szCs w:val="24"/>
        </w:rPr>
        <w:t>Faithfull-Byrne, Thompson, Schafer, Williamson, and Cross (2017)</w:t>
      </w:r>
      <w:r>
        <w:rPr>
          <w:rFonts w:ascii="Times New Roman" w:hAnsi="Times New Roman" w:cs="Times New Roman"/>
          <w:bCs/>
          <w:color w:val="212529"/>
          <w:sz w:val="24"/>
          <w:szCs w:val="24"/>
        </w:rPr>
        <w:fldChar w:fldCharType="end"/>
      </w:r>
      <w:r>
        <w:rPr>
          <w:rFonts w:ascii="Times New Roman" w:hAnsi="Times New Roman" w:cs="Times New Roman"/>
          <w:color w:val="212529"/>
          <w:sz w:val="24"/>
          <w:szCs w:val="24"/>
        </w:rPr>
        <w:t xml:space="preserve"> </w:t>
      </w:r>
      <w:r>
        <w:rPr>
          <w:rFonts w:ascii="Times New Roman" w:hAnsi="Times New Roman" w:cs="Times New Roman"/>
          <w:sz w:val="24"/>
          <w:szCs w:val="24"/>
        </w:rPr>
        <w:t>in this study will be the theory of choice. The research of enhancing nursing practice in terms of post-operative pain management is well related to clinical coaching, which is empowering staff and professional development that results in service improvement. Additionally, the nurses and midwives working in the surgical wards must make the transition from treating postoperative pain without determining its severity and only administering medications on the doctor's prescription. This necessitates a change to a more contemporary approach whereby post-operative pain is evaluated by nurses before analgesia is given. Coaching is characterized by empowering people to accept accountability for themselves, make required changes in their personal and professional lives, and take personal responsibility. Additionally, coaching validates the idea that achieving both corporate performance and personal fulfillment is possible</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{"citationItems":[{"id":"ITEM-1","itemData":{"DOI":"10.5430/jnep.v6n6p41","ISSN":"1925-4040","abstract":"The theory of clinical coaching has growing significance within the profession of nursing. Due to increasing turnover rates and decreasing retention rates of novice nurses has amplified the need for clinical coaching by expert nurses. By equipping the expert nurse with the knowledge, skills, and behaviors which promotes the legacy of leadership and professional development in nursing practice, effective clinical coaching will foster supportive, professional relationships, and lead to excellent patient care standards.","author":[{"dropping-particle":"","family":"A. Walker-Reed","given":"Cynthia","non-dropping-particle":"","parse-names":false,"suffix":""}],"container-title":"Journal of Nursing Education and Practice","id":"ITEM-1","issue":"6","issued":{"date-parts":[["2016"]]},"page":"41-47","title":"Clinical coaching: The means to achieving a legacy of leadership and proffesional development in nursing practice","type":"article-journal","volume":"6"},"uris":["http://www.mendeley.com/documents/?uuid=4340c793-b4ba-4100-ad89-9eaa1d7c14a7"]}],"mendeley":{"formattedCitation":"(A. Walker-Reed, 2016)","plainTextFormattedCitation":"(A. Walker-Reed, 2016)","previouslyFormattedCitation":"(A. Walker-Reed, 2016)"},"properties":{"noteIndex":0},"schema":"https://github.com/citation-style-language/schema/raw/master/csl-citation.json"}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(A. Walker-Reed, 2016)</w:t>
      </w:r>
      <w:r>
        <w:rPr>
          <w:rFonts w:ascii="Times New Roman" w:hAnsi="Times New Roman" w:cs="Times New Roman"/>
          <w:bCs/>
          <w:sz w:val="24"/>
          <w:szCs w:val="24"/>
        </w:rPr>
        <w:fldChar w:fldCharType="end"/>
      </w:r>
      <w:r>
        <w:rPr>
          <w:rFonts w:ascii="Times New Roman" w:hAnsi="Times New Roman" w:cs="Times New Roman"/>
          <w:bCs/>
          <w:sz w:val="24"/>
          <w:szCs w:val="24"/>
        </w:rPr>
        <w:t>.</w:t>
      </w:r>
    </w:p>
    <w:p>
      <w:pPr>
        <w:pStyle w:val="17"/>
        <w:shd w:val="clear" w:color="auto" w:fill="FFFFFF"/>
        <w:tabs>
          <w:tab w:val="left" w:pos="9360"/>
        </w:tabs>
        <w:spacing w:before="0" w:beforeAutospacing="0" w:line="480" w:lineRule="auto"/>
        <w:jc w:val="both"/>
        <w:rPr>
          <w:b/>
          <w:bCs/>
        </w:rPr>
      </w:pPr>
      <w:r>
        <w:rPr>
          <w:b/>
          <w:bCs/>
        </w:rPr>
        <w:t>The context of coaching.</w:t>
      </w:r>
    </w:p>
    <w:p>
      <w:pPr>
        <w:tabs>
          <w:tab w:val="left" w:pos="9360"/>
        </w:tabs>
        <w:spacing w:before="100" w:beforeAutospacing="1" w:after="100" w:afterAutospacing="1" w:line="480" w:lineRule="auto"/>
        <w:ind w:firstLine="630"/>
        <w:jc w:val="both"/>
        <w:rPr>
          <w:rFonts w:ascii="Times New Roman" w:hAnsi="Times New Roman" w:cs="Times New Roman"/>
          <w:sz w:val="24"/>
          <w:szCs w:val="24"/>
        </w:rPr>
      </w:pPr>
      <w:r>
        <w:rPr>
          <w:rFonts w:ascii="Times New Roman" w:hAnsi="Times New Roman" w:cs="Times New Roman"/>
          <w:sz w:val="24"/>
          <w:szCs w:val="24"/>
        </w:rPr>
        <w:t>The intervention will concentrate on the midwives and nurses who work in the surgical wards. By administering a pretest to serve as a baseline for the training, the theory will assist the researcher in evaluating the nurse's knowledge, attitude, and practice prior to the educational intervention.</w:t>
      </w:r>
      <w:r>
        <w:rPr>
          <w:rFonts w:ascii="Times New Roman" w:hAnsi="Times New Roman" w:cs="Times New Roman"/>
          <w:sz w:val="24"/>
          <w:szCs w:val="24"/>
          <w:shd w:val="clear" w:color="auto" w:fill="FFFFFF"/>
        </w:rPr>
        <w:t xml:space="preserve"> The theory continues to explain that coaching solves </w:t>
      </w:r>
      <w:r>
        <w:rPr>
          <w:rFonts w:ascii="Times New Roman" w:hAnsi="Times New Roman" w:cs="Times New Roman"/>
          <w:sz w:val="24"/>
          <w:szCs w:val="24"/>
        </w:rPr>
        <w:t>the great demand for bedside training and support of unregulated health care workers like nurses and midwives in post-operative pain management. The intervention of using the pain assessment scale in the post-operative nursing management of pain will benefit more from the application of Faithfull-Bryne theory of clinical coaching in nursing and midwifery.</w:t>
      </w:r>
    </w:p>
    <w:p>
      <w:pPr>
        <w:pStyle w:val="17"/>
        <w:shd w:val="clear" w:color="auto" w:fill="FFFFFF"/>
        <w:tabs>
          <w:tab w:val="left" w:pos="9360"/>
        </w:tabs>
        <w:spacing w:before="0" w:beforeAutospacing="0" w:line="480" w:lineRule="auto"/>
        <w:ind w:firstLine="630"/>
        <w:jc w:val="both"/>
        <w:rPr>
          <w:rFonts w:eastAsiaTheme="minorHAnsi"/>
          <w:shd w:val="clear" w:color="auto" w:fill="FFFFFF"/>
        </w:rPr>
      </w:pPr>
      <w:r>
        <w:rPr>
          <w:b/>
          <w:bCs/>
          <w:shd w:val="clear" w:color="auto" w:fill="FFFFFF"/>
        </w:rPr>
        <w:t>Clinical coach for nurses and midwives</w:t>
      </w:r>
      <w:r>
        <w:rPr>
          <w:rFonts w:eastAsiaTheme="minorHAnsi"/>
          <w:shd w:val="clear" w:color="auto" w:fill="FFFFFF"/>
        </w:rPr>
        <w:t xml:space="preserve">. </w:t>
      </w:r>
    </w:p>
    <w:p>
      <w:pPr>
        <w:tabs>
          <w:tab w:val="left" w:pos="9360"/>
        </w:tabs>
        <w:spacing w:before="100" w:beforeAutospacing="1" w:after="100" w:afterAutospacing="1" w:line="480" w:lineRule="auto"/>
        <w:ind w:firstLine="63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According to Faithfull-Bryne et al. (2017), clinical coaches deliver educational interventions to nurses and midwives at their workplaces during practice to help them attain clinical skills and practice. Similarly, the theory is going to help the researcher teach the nurses when and how to assess for post-operative pain, how to provide suitable post-operative nursing care, and how to manage post-operative pain. </w:t>
      </w:r>
    </w:p>
    <w:p>
      <w:pPr>
        <w:tabs>
          <w:tab w:val="left" w:pos="9360"/>
        </w:tabs>
        <w:spacing w:before="100" w:beforeAutospacing="1" w:after="100" w:afterAutospacing="1" w:line="480" w:lineRule="auto"/>
        <w:ind w:firstLine="630"/>
        <w:jc w:val="both"/>
        <w:rPr>
          <w:rFonts w:ascii="Times New Roman" w:hAnsi="Times New Roman" w:cs="Times New Roman"/>
          <w:b/>
          <w:bCs/>
          <w:sz w:val="24"/>
          <w:szCs w:val="24"/>
        </w:rPr>
      </w:pPr>
      <w:r>
        <w:rPr>
          <w:rFonts w:ascii="Times New Roman" w:hAnsi="Times New Roman" w:cs="Times New Roman"/>
          <w:b/>
          <w:bCs/>
          <w:sz w:val="24"/>
          <w:szCs w:val="24"/>
          <w:shd w:val="clear" w:color="auto" w:fill="FFFFFF"/>
        </w:rPr>
        <w:t>Using clinical coaching skills.</w:t>
      </w:r>
    </w:p>
    <w:p>
      <w:pPr>
        <w:tabs>
          <w:tab w:val="left" w:pos="9360"/>
        </w:tabs>
        <w:spacing w:before="100" w:beforeAutospacing="1" w:after="100" w:afterAutospacing="1" w:line="480" w:lineRule="auto"/>
        <w:ind w:firstLine="63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To accomplish these objectives within the framework of person-centered thinking, clinical coaches make use of coaching techniques and mantras, facilitation abilities, practice development concepts, adult learning methodologies, supported practice, and clinical assessment tools. As a similar educational intervention, the research will instruct nurses and midwives in the surgical ward on how to utilize a pain assessment scale in the daily post-operative nursing treatment of pain. The researcher will give the group instructional aids such charts for evaluating pain, books on the subject, and the pain assessment scale. The researcher will also instruct and mentor the nurses and midwives in the clinical techniques for measuring pain, including allowing patient self-reports (the gold standard), ensuring observer assessment by watching the patient's behavior, checking the patient's vital signs, and performing functional assessment. The researcher will advise them to always pay attention to and take seriously patients' complaints about post-operative pain. Additionally, the researcher will instruct and advise them on how to collect information on their pain, including provocation, comforting, quality, quantity, region, radiation, severity, time, therapy, and knowledge of the underlying causes.</w:t>
      </w:r>
    </w:p>
    <w:p>
      <w:pPr>
        <w:tabs>
          <w:tab w:val="left" w:pos="9360"/>
        </w:tabs>
        <w:spacing w:before="100" w:beforeAutospacing="1" w:after="100" w:afterAutospacing="1" w:line="480" w:lineRule="auto"/>
        <w:ind w:firstLine="630"/>
        <w:jc w:val="both"/>
        <w:rPr>
          <w:rFonts w:ascii="Times New Roman" w:hAnsi="Times New Roman" w:cs="Times New Roman"/>
          <w:sz w:val="24"/>
          <w:szCs w:val="24"/>
        </w:rPr>
      </w:pPr>
      <w:r>
        <w:rPr>
          <w:rFonts w:ascii="Times New Roman" w:hAnsi="Times New Roman" w:cs="Times New Roman"/>
          <w:sz w:val="24"/>
          <w:szCs w:val="24"/>
          <w:shd w:val="clear" w:color="auto" w:fill="FFFFFF"/>
        </w:rPr>
        <w:t>The usage of the pain assessment scale will then be demonstrated, and their progress will be continuously monitored and evaluated with prompt feedback. A posttest to assess the impact of the education intervention will cap off the research at the conclusion of the training. The nurses' participation will be the key in this situation, with the researcher serving more as a facilitator than a teacher.</w:t>
      </w:r>
    </w:p>
    <w:p>
      <w:pPr>
        <w:tabs>
          <w:tab w:val="left" w:pos="9360"/>
        </w:tabs>
        <w:spacing w:before="100" w:beforeAutospacing="1" w:after="100" w:afterAutospacing="1" w:line="480" w:lineRule="auto"/>
        <w:ind w:firstLine="630"/>
        <w:jc w:val="both"/>
        <w:rPr>
          <w:rFonts w:ascii="Times New Roman" w:hAnsi="Times New Roman" w:cs="Times New Roman"/>
          <w:b/>
          <w:bCs/>
          <w:sz w:val="24"/>
          <w:szCs w:val="24"/>
        </w:rPr>
      </w:pPr>
      <w:r>
        <w:rPr>
          <w:rFonts w:ascii="Times New Roman" w:hAnsi="Times New Roman" w:cs="Times New Roman"/>
          <w:b/>
          <w:bCs/>
          <w:sz w:val="24"/>
          <w:szCs w:val="24"/>
        </w:rPr>
        <w:t>The Clinical framework output.</w:t>
      </w:r>
    </w:p>
    <w:p>
      <w:pPr>
        <w:pStyle w:val="17"/>
        <w:shd w:val="clear" w:color="auto" w:fill="FFFFFF"/>
        <w:tabs>
          <w:tab w:val="left" w:pos="9360"/>
        </w:tabs>
        <w:spacing w:before="0" w:beforeAutospacing="0" w:line="480" w:lineRule="auto"/>
        <w:ind w:firstLine="630"/>
        <w:jc w:val="both"/>
        <w:rPr>
          <w:b/>
          <w:bCs/>
        </w:rPr>
      </w:pPr>
      <w:r>
        <w:t>Therefore, in terms of post-operative pain management, this theory will contribute to personal and professional growth through critical thinking, creativity, self-confidence, assertiveness, effective communication, objectivity, and pain assessment abilities. The nurses will be able to select the best post-operative pain management strategy by listening to the patient's account of their discomfort. As a result, this will serve as a benchmark or guidance in selecting the best nursing care, leading to an improvement in the postoperative pain management process. According to institutional data, institutional coaching is necessary to increase the quality of care, job satisfaction, retention, and professionalism. Therefore, clinical coaching is an economical strategy to increase staff capability, transfer knowledge, and keep motivated employees</w:t>
      </w:r>
      <w:r>
        <w:rPr>
          <w:b/>
          <w:shd w:val="clear" w:color="auto" w:fill="FFFFFF"/>
        </w:rPr>
        <w:fldChar w:fldCharType="begin" w:fldLock="1"/>
      </w:r>
      <w:r>
        <w:rPr>
          <w:b/>
          <w:shd w:val="clear" w:color="auto" w:fill="FFFFFF"/>
        </w:rPr>
        <w:instrText xml:space="preserve">ADDIN CSL_CITATION {"citationItems":[{"id":"ITEM-1","itemData":{"DOI":"10.1016/j.nepr.2015.03.001","ISSN":"14715953","PMID":"25892367","abstract":"This paper will describe the experiences and perception of a cohort of trainee Advanced Midwifery Practitioners (AMP's) during their training on an MSc in Advanced Practice. The educational philosophy underpinning the master's programme is interprofessional learning linked closely to work based learning and assessment. The focus group explored how the AMP's were developing core competencies within four domains: 1. Clinical/direct patient care or practice; 2. Leadership and collaborative practice; 3. Improving the quality and developing service practice; 4. Development of competency in self and others. The links between the university and clinical assessments were instrumental in developing both midwifery and specialised skills required for extending their scope of practice. The changing demographics of their client group facilitated the need to provide safe assessment and management of ladies with complex health and social needs in pregnancy and childbirth; provide specialised clinics and the development of a robust stafftraining and assessment process. The generic competencies they gained improved collaborative working with their medical colleagues, raising the trainees profile and acceptance of their extended role. In addition to this, development of specialised midwifery skills promoted a high degree of decision making responsibilities within midwifery to facilitate service development and promote evidence based care.","author":[{"dropping-particle":"","family":"Gaskell","given":"Lynne","non-dropping-particle":"","parse-names":false,"suffix":""},{"dropping-particle":"","family":"Beaton","given":"Susan","non-dropping-particle":"","parse-names":false,"suffix":""}],"container-title":"Nurse Education in Practice","id":"ITEM-1","issue":"4","issued":{"date-parts":[["2015"]]},"page":"265-270","title":"Developing clinical competency: Experiences and perceptions of Advanced Midwifery Practitioners in training","type":"article-journal","volume":"15"},"uris":["http://www.mendeley.com/documents/?uuid=6cbc5bbb-dcb5-44b8-96fa-2fd8241f9159"]}],"mendeley":{"formattedCitation":"(Gaskell &amp; Beaton, 2015)","plainTextFormattedCitation":"(Gaskell &amp; Beaton, 2015)","previouslyFormattedCitation":"(Gaskell &amp; Beaton, 2015)"},"properties":{"noteIndex":0},"schema":"https://github.com/citation-style-language/schema/raw/master/csl-citation.json"}</w:instrText>
      </w:r>
      <w:r>
        <w:rPr>
          <w:b/>
          <w:shd w:val="clear" w:color="auto" w:fill="FFFFFF"/>
        </w:rPr>
        <w:fldChar w:fldCharType="separate"/>
      </w:r>
      <w:r>
        <w:rPr>
          <w:b/>
          <w:shd w:val="clear" w:color="auto" w:fill="FFFFFF"/>
        </w:rPr>
        <w:t>(Gaskell &amp; Beaton, 2015)</w:t>
      </w:r>
      <w:r>
        <w:rPr>
          <w:b/>
          <w:shd w:val="clear" w:color="auto" w:fill="FFFFFF"/>
        </w:rPr>
        <w:fldChar w:fldCharType="end"/>
      </w:r>
      <w:r>
        <w:rPr>
          <w:b/>
          <w:shd w:val="clear" w:color="auto" w:fill="FFFFFF"/>
        </w:rPr>
        <w:t xml:space="preserve">. </w:t>
      </w:r>
      <w:r>
        <w:rPr>
          <w:shd w:val="clear" w:color="auto" w:fill="FFFFFF"/>
        </w:rPr>
        <w:t xml:space="preserve"> </w:t>
      </w:r>
      <w:r>
        <w:rPr>
          <w:b/>
          <w:bCs/>
        </w:rPr>
        <w:t xml:space="preserve">  </w:t>
      </w:r>
    </w:p>
    <w:p>
      <w:pPr>
        <w:pStyle w:val="17"/>
        <w:shd w:val="clear" w:color="auto" w:fill="FFFFFF"/>
        <w:tabs>
          <w:tab w:val="left" w:pos="9360"/>
        </w:tabs>
        <w:spacing w:before="0" w:beforeAutospacing="0" w:line="480" w:lineRule="auto"/>
        <w:ind w:firstLine="630"/>
        <w:jc w:val="both"/>
        <w:rPr>
          <w:b/>
          <w:bCs/>
        </w:rPr>
      </w:pPr>
    </w:p>
    <w:p>
      <w:pPr>
        <w:pStyle w:val="17"/>
        <w:shd w:val="clear" w:color="auto" w:fill="FFFFFF"/>
        <w:tabs>
          <w:tab w:val="left" w:pos="9360"/>
        </w:tabs>
        <w:spacing w:before="0" w:beforeAutospacing="0" w:line="480" w:lineRule="auto"/>
        <w:ind w:firstLine="630"/>
        <w:jc w:val="both"/>
        <w:rPr>
          <w:b/>
          <w:bCs/>
        </w:rPr>
      </w:pPr>
    </w:p>
    <w:p>
      <w:pPr>
        <w:pStyle w:val="17"/>
        <w:shd w:val="clear" w:color="auto" w:fill="FFFFFF"/>
        <w:tabs>
          <w:tab w:val="left" w:pos="9360"/>
        </w:tabs>
        <w:spacing w:before="0" w:beforeAutospacing="0" w:line="480" w:lineRule="auto"/>
        <w:ind w:firstLine="630"/>
        <w:jc w:val="both"/>
        <w:rPr>
          <w:b/>
          <w:bCs/>
        </w:rPr>
      </w:pPr>
    </w:p>
    <w:p>
      <w:pPr>
        <w:pStyle w:val="17"/>
        <w:shd w:val="clear" w:color="auto" w:fill="FFFFFF"/>
        <w:tabs>
          <w:tab w:val="left" w:pos="9360"/>
        </w:tabs>
        <w:spacing w:before="0" w:beforeAutospacing="0" w:line="480" w:lineRule="auto"/>
        <w:ind w:firstLine="630"/>
        <w:jc w:val="both"/>
        <w:rPr>
          <w:b/>
          <w:bCs/>
        </w:rPr>
      </w:pPr>
    </w:p>
    <w:p>
      <w:pPr>
        <w:pStyle w:val="17"/>
        <w:shd w:val="clear" w:color="auto" w:fill="FFFFFF"/>
        <w:tabs>
          <w:tab w:val="left" w:pos="9360"/>
        </w:tabs>
        <w:spacing w:before="0" w:beforeAutospacing="0" w:line="480" w:lineRule="auto"/>
        <w:ind w:firstLine="630"/>
        <w:jc w:val="both"/>
        <w:rPr>
          <w:b/>
          <w:bCs/>
        </w:rPr>
      </w:pPr>
    </w:p>
    <w:p>
      <w:pPr>
        <w:pStyle w:val="17"/>
        <w:shd w:val="clear" w:color="auto" w:fill="FFFFFF"/>
        <w:tabs>
          <w:tab w:val="left" w:pos="9360"/>
        </w:tabs>
        <w:spacing w:before="0" w:beforeAutospacing="0" w:line="480" w:lineRule="auto"/>
        <w:ind w:firstLine="630"/>
        <w:jc w:val="both"/>
        <w:rPr>
          <w:b/>
          <w:bCs/>
        </w:rPr>
      </w:pPr>
    </w:p>
    <w:p>
      <w:pPr>
        <w:pStyle w:val="17"/>
        <w:shd w:val="clear" w:color="auto" w:fill="FFFFFF"/>
        <w:tabs>
          <w:tab w:val="left" w:pos="9360"/>
        </w:tabs>
        <w:spacing w:before="0" w:beforeAutospacing="0" w:line="480" w:lineRule="auto"/>
        <w:ind w:firstLine="630"/>
        <w:jc w:val="both"/>
        <w:rPr>
          <w:b/>
          <w:bCs/>
        </w:rPr>
      </w:pPr>
    </w:p>
    <w:p>
      <w:pPr>
        <w:pStyle w:val="17"/>
        <w:shd w:val="clear" w:color="auto" w:fill="FFFFFF"/>
        <w:tabs>
          <w:tab w:val="left" w:pos="9360"/>
        </w:tabs>
        <w:spacing w:before="0" w:beforeAutospacing="0" w:line="480" w:lineRule="auto"/>
        <w:ind w:firstLine="630"/>
        <w:jc w:val="both"/>
        <w:rPr>
          <w:shd w:val="clear" w:color="auto" w:fill="FFFFFF"/>
        </w:rPr>
      </w:pPr>
      <w:r>
        <w:rPr>
          <w:b/>
          <w:bCs/>
        </w:rPr>
        <w:t xml:space="preserve">                                                                                                                                                                                                                              </w:t>
      </w:r>
    </w:p>
    <w:p>
      <w:pPr>
        <w:spacing w:before="100" w:beforeAutospacing="1" w:after="100" w:afterAutospacing="1" w:line="480" w:lineRule="auto"/>
        <w:ind w:right="720"/>
        <w:rPr>
          <w:rFonts w:ascii="Times New Roman" w:hAnsi="Times New Roman" w:cs="Times New Roman"/>
          <w:sz w:val="24"/>
          <w:szCs w:val="24"/>
        </w:rPr>
      </w:pPr>
      <w:r>
        <w:rPr>
          <w:rFonts w:ascii="Times New Roman" w:hAnsi="Times New Roman" w:cs="Times New Roman"/>
          <w:b/>
          <w:bCs/>
          <w:sz w:val="24"/>
          <w:szCs w:val="24"/>
        </w:rPr>
        <w:t>Theoretical Flame work</w:t>
      </w:r>
    </w:p>
    <w:p>
      <w:pPr>
        <w:spacing w:before="100" w:beforeAutospacing="1" w:after="100" w:afterAutospacing="1" w:line="480" w:lineRule="auto"/>
        <w:ind w:left="720" w:right="720" w:firstLine="720"/>
        <w:rPr>
          <w:rFonts w:ascii="Times New Roman" w:hAnsi="Times New Roman" w:cs="Times New Roman"/>
          <w:b/>
          <w:bCs/>
          <w:sz w:val="24"/>
          <w:szCs w:val="24"/>
        </w:rPr>
      </w:pPr>
      <w:r>
        <w:rPr>
          <w:rFonts w:ascii="Times New Roman" w:hAnsi="Times New Roman" w:cs="Times New Roman"/>
          <w:sz w:val="24"/>
          <w:szCs w:val="24"/>
        </w:rPr>
        <mc:AlternateContent>
          <mc:Choice Requires="wps">
            <w:drawing>
              <wp:anchor distT="0" distB="0" distL="114300" distR="114300" simplePos="0" relativeHeight="251662336" behindDoc="0" locked="0" layoutInCell="1" allowOverlap="1">
                <wp:simplePos x="0" y="0"/>
                <wp:positionH relativeFrom="column">
                  <wp:posOffset>1333500</wp:posOffset>
                </wp:positionH>
                <wp:positionV relativeFrom="paragraph">
                  <wp:posOffset>243840</wp:posOffset>
                </wp:positionV>
                <wp:extent cx="1181100" cy="4387850"/>
                <wp:effectExtent l="0" t="0" r="19050" b="12700"/>
                <wp:wrapNone/>
                <wp:docPr id="40" name="Rectangle 40"/>
                <wp:cNvGraphicFramePr/>
                <a:graphic xmlns:a="http://schemas.openxmlformats.org/drawingml/2006/main">
                  <a:graphicData uri="http://schemas.microsoft.com/office/word/2010/wordprocessingShape">
                    <wps:wsp>
                      <wps:cNvSpPr/>
                      <wps:spPr>
                        <a:xfrm>
                          <a:off x="0" y="0"/>
                          <a:ext cx="1181100" cy="4387850"/>
                        </a:xfrm>
                        <a:prstGeom prst="rect">
                          <a:avLst/>
                        </a:prstGeom>
                      </wps:spPr>
                      <wps:style>
                        <a:lnRef idx="2">
                          <a:schemeClr val="dk1"/>
                        </a:lnRef>
                        <a:fillRef idx="1">
                          <a:schemeClr val="lt1"/>
                        </a:fillRef>
                        <a:effectRef idx="0">
                          <a:schemeClr val="dk1"/>
                        </a:effectRef>
                        <a:fontRef idx="minor">
                          <a:schemeClr val="dk1"/>
                        </a:fontRef>
                      </wps:style>
                      <wps:txbx>
                        <w:txbxContent>
                          <w:p>
                            <w:pPr>
                              <w:rPr>
                                <w:rFonts w:ascii="Times New Roman" w:hAnsi="Times New Roman" w:cs="Times New Roman"/>
                                <w:b/>
                                <w:bCs/>
                                <w:sz w:val="24"/>
                                <w:szCs w:val="24"/>
                              </w:rPr>
                            </w:pPr>
                            <w:r>
                              <w:rPr>
                                <w:rFonts w:ascii="Times New Roman" w:hAnsi="Times New Roman" w:cs="Times New Roman"/>
                                <w:b/>
                                <w:bCs/>
                                <w:sz w:val="24"/>
                                <w:szCs w:val="24"/>
                              </w:rPr>
                              <w:t xml:space="preserve">CLINICAL COACH FOR NURSES &amp;MIDWIVES </w:t>
                            </w:r>
                          </w:p>
                          <w:p>
                            <w:pPr>
                              <w:jc w:val="center"/>
                              <w:rPr>
                                <w:rFonts w:ascii="Times New Roman" w:hAnsi="Times New Roman" w:cs="Times New Roman"/>
                                <w:sz w:val="24"/>
                                <w:szCs w:val="24"/>
                              </w:rPr>
                            </w:pPr>
                            <w:r>
                              <w:rPr>
                                <w:rFonts w:ascii="Times New Roman" w:hAnsi="Times New Roman" w:cs="Times New Roman"/>
                                <w:sz w:val="24"/>
                                <w:szCs w:val="24"/>
                              </w:rPr>
                              <w:t>Pain assessment skill</w:t>
                            </w: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Post-operative pain management </w:t>
                            </w: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Post-operative nursing care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0" o:spid="_x0000_s1026" o:spt="1" style="position:absolute;left:0pt;margin-left:105pt;margin-top:19.2pt;height:345.5pt;width:93pt;z-index:251662336;v-text-anchor:middle;mso-width-relative:page;mso-height-relative:page;" fillcolor="#FFFFFF [3201]" filled="t" stroked="t" coordsize="21600,21600" o:gfxdata="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CcsUDN2AAAAAoBAAAPAAAAAAAAAAEAIAAAACIAAABkcnMvZG93bnJldi54&#10;bWxQSwECFAAUAAAACACHTuJAnbmQ1WwCAAAFBQAADgAAAAAAAAABACAAAAAnAQAAZHJzL2Uyb0Rv&#10;Yy54bWxQSwUGAAAAAAYABgBZAQAABQYAAAAA&#10;">
                <v:fill on="t" focussize="0,0"/>
                <v:stroke weight="1pt" color="#000000 [3200]" miterlimit="8" joinstyle="miter"/>
                <v:imagedata o:title=""/>
                <o:lock v:ext="edit" aspectratio="f"/>
                <v:textbox>
                  <w:txbxContent>
                    <w:p>
                      <w:pPr>
                        <w:rPr>
                          <w:rFonts w:ascii="Times New Roman" w:hAnsi="Times New Roman" w:cs="Times New Roman"/>
                          <w:b/>
                          <w:bCs/>
                          <w:sz w:val="24"/>
                          <w:szCs w:val="24"/>
                        </w:rPr>
                      </w:pPr>
                      <w:r>
                        <w:rPr>
                          <w:rFonts w:ascii="Times New Roman" w:hAnsi="Times New Roman" w:cs="Times New Roman"/>
                          <w:b/>
                          <w:bCs/>
                          <w:sz w:val="24"/>
                          <w:szCs w:val="24"/>
                        </w:rPr>
                        <w:t xml:space="preserve">CLINICAL COACH FOR NURSES &amp;MIDWIVES </w:t>
                      </w:r>
                    </w:p>
                    <w:p>
                      <w:pPr>
                        <w:jc w:val="center"/>
                        <w:rPr>
                          <w:rFonts w:ascii="Times New Roman" w:hAnsi="Times New Roman" w:cs="Times New Roman"/>
                          <w:sz w:val="24"/>
                          <w:szCs w:val="24"/>
                        </w:rPr>
                      </w:pPr>
                      <w:r>
                        <w:rPr>
                          <w:rFonts w:ascii="Times New Roman" w:hAnsi="Times New Roman" w:cs="Times New Roman"/>
                          <w:sz w:val="24"/>
                          <w:szCs w:val="24"/>
                        </w:rPr>
                        <w:t>Pain assessment skill</w:t>
                      </w: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Post-operative pain management </w:t>
                      </w: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Post-operative nursing care </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663360" behindDoc="0" locked="0" layoutInCell="1" allowOverlap="1">
                <wp:simplePos x="0" y="0"/>
                <wp:positionH relativeFrom="column">
                  <wp:posOffset>2819400</wp:posOffset>
                </wp:positionH>
                <wp:positionV relativeFrom="paragraph">
                  <wp:posOffset>152400</wp:posOffset>
                </wp:positionV>
                <wp:extent cx="1455420" cy="4854575"/>
                <wp:effectExtent l="0" t="0" r="11430" b="22225"/>
                <wp:wrapNone/>
                <wp:docPr id="39" name="Rectangle 39"/>
                <wp:cNvGraphicFramePr/>
                <a:graphic xmlns:a="http://schemas.openxmlformats.org/drawingml/2006/main">
                  <a:graphicData uri="http://schemas.microsoft.com/office/word/2010/wordprocessingShape">
                    <wps:wsp>
                      <wps:cNvSpPr/>
                      <wps:spPr>
                        <a:xfrm>
                          <a:off x="0" y="0"/>
                          <a:ext cx="1455420" cy="4854575"/>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cs="Times New Roman"/>
                                <w:b/>
                                <w:bCs/>
                                <w:sz w:val="24"/>
                                <w:szCs w:val="24"/>
                              </w:rPr>
                            </w:pPr>
                            <w:r>
                              <w:rPr>
                                <w:rFonts w:ascii="Times New Roman" w:hAnsi="Times New Roman" w:cs="Times New Roman"/>
                                <w:b/>
                                <w:bCs/>
                                <w:sz w:val="24"/>
                                <w:szCs w:val="24"/>
                              </w:rPr>
                              <w:t>USING CLINICAL COACHING SKILL</w:t>
                            </w:r>
                          </w:p>
                          <w:p>
                            <w:pPr>
                              <w:jc w:val="center"/>
                              <w:rPr>
                                <w:rFonts w:ascii="Times New Roman" w:hAnsi="Times New Roman" w:cs="Times New Roman"/>
                                <w:sz w:val="24"/>
                                <w:szCs w:val="24"/>
                              </w:rPr>
                            </w:pPr>
                            <w:r>
                              <w:rPr>
                                <w:rFonts w:ascii="Times New Roman" w:hAnsi="Times New Roman" w:cs="Times New Roman"/>
                                <w:sz w:val="24"/>
                                <w:szCs w:val="24"/>
                              </w:rPr>
                              <w:t>Mantras (work with them in groups, change attitude to gratitude)</w:t>
                            </w:r>
                          </w:p>
                          <w:p>
                            <w:pPr>
                              <w:jc w:val="center"/>
                              <w:rPr>
                                <w:rFonts w:ascii="Times New Roman" w:hAnsi="Times New Roman" w:cs="Times New Roman"/>
                                <w:sz w:val="24"/>
                                <w:szCs w:val="24"/>
                              </w:rPr>
                            </w:pPr>
                            <w:r>
                              <w:rPr>
                                <w:rFonts w:ascii="Times New Roman" w:hAnsi="Times New Roman" w:cs="Times New Roman"/>
                                <w:sz w:val="24"/>
                                <w:szCs w:val="24"/>
                              </w:rPr>
                              <w:t>conduct CNE, audit meeting, collect them, &amp; give feedback.)</w:t>
                            </w:r>
                          </w:p>
                          <w:p>
                            <w:pPr>
                              <w:jc w:val="center"/>
                              <w:rPr>
                                <w:rFonts w:ascii="Times New Roman" w:hAnsi="Times New Roman" w:cs="Times New Roman"/>
                                <w:sz w:val="24"/>
                                <w:szCs w:val="24"/>
                              </w:rPr>
                            </w:pPr>
                            <w:r>
                              <w:rPr>
                                <w:rFonts w:ascii="Times New Roman" w:hAnsi="Times New Roman" w:cs="Times New Roman"/>
                                <w:sz w:val="24"/>
                                <w:szCs w:val="24"/>
                              </w:rPr>
                              <w:t xml:space="preserve">Demonstrate  </w:t>
                            </w:r>
                          </w:p>
                          <w:p>
                            <w:pPr>
                              <w:jc w:val="center"/>
                              <w:rPr>
                                <w:rFonts w:ascii="Times New Roman" w:hAnsi="Times New Roman" w:cs="Times New Roman"/>
                                <w:sz w:val="24"/>
                                <w:szCs w:val="24"/>
                              </w:rPr>
                            </w:pPr>
                            <w:r>
                              <w:rPr>
                                <w:rFonts w:ascii="Times New Roman" w:hAnsi="Times New Roman" w:cs="Times New Roman"/>
                                <w:sz w:val="24"/>
                                <w:szCs w:val="24"/>
                              </w:rPr>
                              <w:t xml:space="preserve">Provide assessment tools, posters, pain charts, supervise. </w:t>
                            </w:r>
                          </w:p>
                          <w:p>
                            <w:pPr>
                              <w:jc w:val="center"/>
                              <w:rPr>
                                <w:rFonts w:ascii="Times New Roman" w:hAnsi="Times New Roman" w:cs="Times New Roman"/>
                                <w:sz w:val="24"/>
                                <w:szCs w:val="24"/>
                              </w:rPr>
                            </w:pPr>
                            <w:r>
                              <w:rPr>
                                <w:rFonts w:ascii="Times New Roman" w:hAnsi="Times New Roman" w:cs="Times New Roman"/>
                                <w:sz w:val="24"/>
                                <w:szCs w:val="24"/>
                              </w:rPr>
                              <w:t xml:space="preserve">Give posttest for evaluation.  </w:t>
                            </w:r>
                          </w:p>
                          <w:p>
                            <w:pPr>
                              <w:jc w:val="center"/>
                              <w:rPr>
                                <w:rFonts w:ascii="Times New Roman" w:hAnsi="Times New Roman" w:cs="Times New Roman"/>
                                <w:sz w:val="24"/>
                                <w:szCs w:val="24"/>
                              </w:rPr>
                            </w:pPr>
                            <w:r>
                              <w:rPr>
                                <w:rFonts w:ascii="Times New Roman" w:hAnsi="Times New Roman" w:cs="Times New Roman"/>
                                <w:sz w:val="24"/>
                                <w:szCs w:val="24"/>
                              </w:rPr>
                              <w:t xml:space="preserve">Continuous monitoring of their progress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9" o:spid="_x0000_s1026" o:spt="1" style="position:absolute;left:0pt;margin-left:222pt;margin-top:12pt;height:382.25pt;width:114.6pt;z-index:251663360;v-text-anchor:middle;mso-width-relative:page;mso-height-relative:page;" fillcolor="#FFFFFF [3201]" filled="t" stroked="t" coordsize="21600,21600" o:gfxdata="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FwkqX/YAAAACgEAAA8AAAAAAAAAAQAgAAAAIgAAAGRycy9kb3ducmV2Lnht&#10;bFBLAQIUABQAAAAIAIdO4kCCuQL/awIAAAUFAAAOAAAAAAAAAAEAIAAAACcBAABkcnMvZTJvRG9j&#10;LnhtbFBLBQYAAAAABgAGAFkBAAAEBgAAAAA=&#10;">
                <v:fill on="t" focussize="0,0"/>
                <v:stroke weight="1pt" color="#000000 [3200]" miterlimit="8" joinstyle="miter"/>
                <v:imagedata o:title=""/>
                <o:lock v:ext="edit" aspectratio="f"/>
                <v:textbox>
                  <w:txbxContent>
                    <w:p>
                      <w:pPr>
                        <w:jc w:val="center"/>
                        <w:rPr>
                          <w:rFonts w:ascii="Times New Roman" w:hAnsi="Times New Roman" w:cs="Times New Roman"/>
                          <w:b/>
                          <w:bCs/>
                          <w:sz w:val="24"/>
                          <w:szCs w:val="24"/>
                        </w:rPr>
                      </w:pPr>
                      <w:r>
                        <w:rPr>
                          <w:rFonts w:ascii="Times New Roman" w:hAnsi="Times New Roman" w:cs="Times New Roman"/>
                          <w:b/>
                          <w:bCs/>
                          <w:sz w:val="24"/>
                          <w:szCs w:val="24"/>
                        </w:rPr>
                        <w:t>USING CLINICAL COACHING SKILL</w:t>
                      </w:r>
                    </w:p>
                    <w:p>
                      <w:pPr>
                        <w:jc w:val="center"/>
                        <w:rPr>
                          <w:rFonts w:ascii="Times New Roman" w:hAnsi="Times New Roman" w:cs="Times New Roman"/>
                          <w:sz w:val="24"/>
                          <w:szCs w:val="24"/>
                        </w:rPr>
                      </w:pPr>
                      <w:r>
                        <w:rPr>
                          <w:rFonts w:ascii="Times New Roman" w:hAnsi="Times New Roman" w:cs="Times New Roman"/>
                          <w:sz w:val="24"/>
                          <w:szCs w:val="24"/>
                        </w:rPr>
                        <w:t>Mantras (work with them in groups, change attitude to gratitude)</w:t>
                      </w:r>
                    </w:p>
                    <w:p>
                      <w:pPr>
                        <w:jc w:val="center"/>
                        <w:rPr>
                          <w:rFonts w:ascii="Times New Roman" w:hAnsi="Times New Roman" w:cs="Times New Roman"/>
                          <w:sz w:val="24"/>
                          <w:szCs w:val="24"/>
                        </w:rPr>
                      </w:pPr>
                      <w:r>
                        <w:rPr>
                          <w:rFonts w:ascii="Times New Roman" w:hAnsi="Times New Roman" w:cs="Times New Roman"/>
                          <w:sz w:val="24"/>
                          <w:szCs w:val="24"/>
                        </w:rPr>
                        <w:t>conduct CNE, audit meeting, collect them, &amp; give feedback.)</w:t>
                      </w:r>
                    </w:p>
                    <w:p>
                      <w:pPr>
                        <w:jc w:val="center"/>
                        <w:rPr>
                          <w:rFonts w:ascii="Times New Roman" w:hAnsi="Times New Roman" w:cs="Times New Roman"/>
                          <w:sz w:val="24"/>
                          <w:szCs w:val="24"/>
                        </w:rPr>
                      </w:pPr>
                      <w:r>
                        <w:rPr>
                          <w:rFonts w:ascii="Times New Roman" w:hAnsi="Times New Roman" w:cs="Times New Roman"/>
                          <w:sz w:val="24"/>
                          <w:szCs w:val="24"/>
                        </w:rPr>
                        <w:t xml:space="preserve">Demonstrate  </w:t>
                      </w:r>
                    </w:p>
                    <w:p>
                      <w:pPr>
                        <w:jc w:val="center"/>
                        <w:rPr>
                          <w:rFonts w:ascii="Times New Roman" w:hAnsi="Times New Roman" w:cs="Times New Roman"/>
                          <w:sz w:val="24"/>
                          <w:szCs w:val="24"/>
                        </w:rPr>
                      </w:pPr>
                      <w:r>
                        <w:rPr>
                          <w:rFonts w:ascii="Times New Roman" w:hAnsi="Times New Roman" w:cs="Times New Roman"/>
                          <w:sz w:val="24"/>
                          <w:szCs w:val="24"/>
                        </w:rPr>
                        <w:t xml:space="preserve">Provide assessment tools, posters, pain charts, supervise. </w:t>
                      </w:r>
                    </w:p>
                    <w:p>
                      <w:pPr>
                        <w:jc w:val="center"/>
                        <w:rPr>
                          <w:rFonts w:ascii="Times New Roman" w:hAnsi="Times New Roman" w:cs="Times New Roman"/>
                          <w:sz w:val="24"/>
                          <w:szCs w:val="24"/>
                        </w:rPr>
                      </w:pPr>
                      <w:r>
                        <w:rPr>
                          <w:rFonts w:ascii="Times New Roman" w:hAnsi="Times New Roman" w:cs="Times New Roman"/>
                          <w:sz w:val="24"/>
                          <w:szCs w:val="24"/>
                        </w:rPr>
                        <w:t xml:space="preserve">Give posttest for evaluation.  </w:t>
                      </w:r>
                    </w:p>
                    <w:p>
                      <w:pPr>
                        <w:jc w:val="center"/>
                        <w:rPr>
                          <w:rFonts w:ascii="Times New Roman" w:hAnsi="Times New Roman" w:cs="Times New Roman"/>
                          <w:sz w:val="24"/>
                          <w:szCs w:val="24"/>
                        </w:rPr>
                      </w:pPr>
                      <w:r>
                        <w:rPr>
                          <w:rFonts w:ascii="Times New Roman" w:hAnsi="Times New Roman" w:cs="Times New Roman"/>
                          <w:sz w:val="24"/>
                          <w:szCs w:val="24"/>
                        </w:rPr>
                        <w:t xml:space="preserve">Continuous monitoring of their progress </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664384" behindDoc="0" locked="0" layoutInCell="1" allowOverlap="1">
                <wp:simplePos x="0" y="0"/>
                <wp:positionH relativeFrom="margin">
                  <wp:posOffset>4659630</wp:posOffset>
                </wp:positionH>
                <wp:positionV relativeFrom="paragraph">
                  <wp:posOffset>85090</wp:posOffset>
                </wp:positionV>
                <wp:extent cx="1341120" cy="4921885"/>
                <wp:effectExtent l="0" t="0" r="11430" b="12065"/>
                <wp:wrapNone/>
                <wp:docPr id="37" name="Rectangle 37"/>
                <wp:cNvGraphicFramePr/>
                <a:graphic xmlns:a="http://schemas.openxmlformats.org/drawingml/2006/main">
                  <a:graphicData uri="http://schemas.microsoft.com/office/word/2010/wordprocessingShape">
                    <wps:wsp>
                      <wps:cNvSpPr/>
                      <wps:spPr>
                        <a:xfrm>
                          <a:off x="0" y="0"/>
                          <a:ext cx="1341120" cy="4921885"/>
                        </a:xfrm>
                        <a:prstGeom prst="rect">
                          <a:avLst/>
                        </a:prstGeom>
                      </wps:spPr>
                      <wps:style>
                        <a:lnRef idx="2">
                          <a:schemeClr val="dk1"/>
                        </a:lnRef>
                        <a:fillRef idx="1">
                          <a:schemeClr val="lt1"/>
                        </a:fillRef>
                        <a:effectRef idx="0">
                          <a:schemeClr val="dk1"/>
                        </a:effectRef>
                        <a:fontRef idx="minor">
                          <a:schemeClr val="dk1"/>
                        </a:fontRef>
                      </wps:style>
                      <wps:txbx>
                        <w:txbxContent>
                          <w:p>
                            <w:pPr>
                              <w:rPr>
                                <w:rFonts w:ascii="Times New Roman" w:hAnsi="Times New Roman" w:cs="Times New Roman"/>
                                <w:b/>
                                <w:bCs/>
                                <w:sz w:val="24"/>
                                <w:szCs w:val="24"/>
                              </w:rPr>
                            </w:pPr>
                            <w:r>
                              <w:rPr>
                                <w:rFonts w:ascii="Times New Roman" w:hAnsi="Times New Roman" w:cs="Times New Roman"/>
                                <w:b/>
                                <w:bCs/>
                                <w:sz w:val="24"/>
                                <w:szCs w:val="24"/>
                              </w:rPr>
                              <w:t>CLINICAL FRAMEWORK OUTPUT</w:t>
                            </w:r>
                          </w:p>
                          <w:p>
                            <w:pPr>
                              <w:rPr>
                                <w:rFonts w:ascii="Times New Roman" w:hAnsi="Times New Roman" w:cs="Times New Roman"/>
                                <w:sz w:val="24"/>
                                <w:szCs w:val="24"/>
                              </w:rPr>
                            </w:pPr>
                            <w:r>
                              <w:rPr>
                                <w:rFonts w:ascii="Times New Roman" w:hAnsi="Times New Roman" w:cs="Times New Roman"/>
                                <w:sz w:val="24"/>
                                <w:szCs w:val="24"/>
                              </w:rPr>
                              <w:t xml:space="preserve">Nurses &amp; midwives’ will be able use the pain assessment scale. </w:t>
                            </w:r>
                          </w:p>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 xml:space="preserve">Improved nurses’ attitude. </w:t>
                            </w:r>
                          </w:p>
                          <w:p>
                            <w:r>
                              <w:rPr>
                                <w:rFonts w:ascii="Times New Roman" w:hAnsi="Times New Roman" w:cs="Times New Roman"/>
                                <w:sz w:val="24"/>
                                <w:szCs w:val="24"/>
                              </w:rPr>
                              <w:t>Nurses will be able to give a suitable post-operative pain analgesia in relation to the level of pain</w:t>
                            </w:r>
                            <w: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7" o:spid="_x0000_s1026" o:spt="1" style="position:absolute;left:0pt;margin-left:366.9pt;margin-top:6.7pt;height:387.55pt;width:105.6pt;mso-position-horizontal-relative:margin;z-index:251664384;v-text-anchor:middle;mso-width-relative:page;mso-height-relative:page;" fillcolor="#FFFFFF [3201]" filled="t" stroked="t" coordsize="21600,21600" o:gfxdata="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DHWPWbXAAAACgEAAA8AAAAAAAAAAQAgAAAAIgAAAGRycy9kb3ducmV2Lnht&#10;bFBLAQIUABQAAAAIAIdO4kBWtr+PbAIAAAUFAAAOAAAAAAAAAAEAIAAAACYBAABkcnMvZTJvRG9j&#10;LnhtbFBLBQYAAAAABgAGAFkBAAAEBgAAAAA=&#10;">
                <v:fill on="t" focussize="0,0"/>
                <v:stroke weight="1pt" color="#000000 [3200]" miterlimit="8" joinstyle="miter"/>
                <v:imagedata o:title=""/>
                <o:lock v:ext="edit" aspectratio="f"/>
                <v:textbox>
                  <w:txbxContent>
                    <w:p>
                      <w:pPr>
                        <w:rPr>
                          <w:rFonts w:ascii="Times New Roman" w:hAnsi="Times New Roman" w:cs="Times New Roman"/>
                          <w:b/>
                          <w:bCs/>
                          <w:sz w:val="24"/>
                          <w:szCs w:val="24"/>
                        </w:rPr>
                      </w:pPr>
                      <w:r>
                        <w:rPr>
                          <w:rFonts w:ascii="Times New Roman" w:hAnsi="Times New Roman" w:cs="Times New Roman"/>
                          <w:b/>
                          <w:bCs/>
                          <w:sz w:val="24"/>
                          <w:szCs w:val="24"/>
                        </w:rPr>
                        <w:t>CLINICAL FRAMEWORK OUTPUT</w:t>
                      </w:r>
                    </w:p>
                    <w:p>
                      <w:pPr>
                        <w:rPr>
                          <w:rFonts w:ascii="Times New Roman" w:hAnsi="Times New Roman" w:cs="Times New Roman"/>
                          <w:sz w:val="24"/>
                          <w:szCs w:val="24"/>
                        </w:rPr>
                      </w:pPr>
                      <w:r>
                        <w:rPr>
                          <w:rFonts w:ascii="Times New Roman" w:hAnsi="Times New Roman" w:cs="Times New Roman"/>
                          <w:sz w:val="24"/>
                          <w:szCs w:val="24"/>
                        </w:rPr>
                        <w:t xml:space="preserve">Nurses &amp; midwives’ will be able use the pain assessment scale. </w:t>
                      </w:r>
                    </w:p>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 xml:space="preserve">Improved nurses’ attitude. </w:t>
                      </w:r>
                    </w:p>
                    <w:p>
                      <w:r>
                        <w:rPr>
                          <w:rFonts w:ascii="Times New Roman" w:hAnsi="Times New Roman" w:cs="Times New Roman"/>
                          <w:sz w:val="24"/>
                          <w:szCs w:val="24"/>
                        </w:rPr>
                        <w:t>Nurses will be able to give a suitable post-operative pain analgesia in relation to the level of pain</w:t>
                      </w:r>
                      <w:r>
                        <w:t xml:space="preserve">. </w:t>
                      </w:r>
                    </w:p>
                  </w:txbxContent>
                </v:textbox>
              </v:rect>
            </w:pict>
          </mc:Fallback>
        </mc:AlternateContent>
      </w:r>
      <w:r>
        <w:rPr>
          <w:rFonts w:ascii="Times New Roman" w:hAnsi="Times New Roman" w:cs="Times New Roman"/>
          <w:sz w:val="24"/>
          <w:szCs w:val="24"/>
        </w:rPr>
        <mc:AlternateContent>
          <mc:Choice Requires="wps">
            <w:drawing>
              <wp:anchor distT="0" distB="0" distL="114300" distR="114300" simplePos="0" relativeHeight="251661312" behindDoc="0" locked="0" layoutInCell="1" allowOverlap="1">
                <wp:simplePos x="0" y="0"/>
                <wp:positionH relativeFrom="column">
                  <wp:posOffset>-350520</wp:posOffset>
                </wp:positionH>
                <wp:positionV relativeFrom="paragraph">
                  <wp:posOffset>182880</wp:posOffset>
                </wp:positionV>
                <wp:extent cx="1310640" cy="4442460"/>
                <wp:effectExtent l="0" t="0" r="22860" b="15240"/>
                <wp:wrapSquare wrapText="bothSides"/>
                <wp:docPr id="38" name="Rectangle 38"/>
                <wp:cNvGraphicFramePr/>
                <a:graphic xmlns:a="http://schemas.openxmlformats.org/drawingml/2006/main">
                  <a:graphicData uri="http://schemas.microsoft.com/office/word/2010/wordprocessingShape">
                    <wps:wsp>
                      <wps:cNvSpPr/>
                      <wps:spPr>
                        <a:xfrm>
                          <a:off x="0" y="0"/>
                          <a:ext cx="1310640" cy="4442460"/>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cs="Times New Roman"/>
                                <w:b/>
                                <w:bCs/>
                                <w:sz w:val="24"/>
                                <w:szCs w:val="24"/>
                              </w:rPr>
                            </w:pPr>
                            <w:r>
                              <w:rPr>
                                <w:rFonts w:ascii="Times New Roman" w:hAnsi="Times New Roman" w:cs="Times New Roman"/>
                                <w:b/>
                                <w:bCs/>
                                <w:sz w:val="24"/>
                                <w:szCs w:val="24"/>
                              </w:rPr>
                              <w:t xml:space="preserve">CONTEXT OF COUCHING </w:t>
                            </w:r>
                          </w:p>
                          <w:p>
                            <w:pPr>
                              <w:jc w:val="center"/>
                              <w:rPr>
                                <w:rFonts w:ascii="Times New Roman" w:hAnsi="Times New Roman" w:cs="Times New Roman"/>
                                <w:sz w:val="24"/>
                                <w:szCs w:val="24"/>
                              </w:rPr>
                            </w:pPr>
                            <w:r>
                              <w:rPr>
                                <w:rFonts w:ascii="Times New Roman" w:hAnsi="Times New Roman" w:cs="Times New Roman"/>
                                <w:sz w:val="24"/>
                                <w:szCs w:val="24"/>
                              </w:rPr>
                              <w:t xml:space="preserve">Nurses &amp; midwives on the surgical &amp; obstetric ward </w:t>
                            </w:r>
                          </w:p>
                          <w:p>
                            <w:pPr>
                              <w:jc w:val="center"/>
                              <w:rPr>
                                <w:rFonts w:ascii="Times New Roman" w:hAnsi="Times New Roman" w:cs="Times New Roman"/>
                                <w:sz w:val="24"/>
                                <w:szCs w:val="24"/>
                              </w:rPr>
                            </w:pPr>
                            <w:r>
                              <w:rPr>
                                <w:rFonts w:ascii="Times New Roman" w:hAnsi="Times New Roman" w:cs="Times New Roman"/>
                                <w:sz w:val="24"/>
                                <w:szCs w:val="24"/>
                              </w:rPr>
                              <w:t xml:space="preserve">Pre assessment of the nurse’s knowledge, attitude, &amp; practice </w:t>
                            </w:r>
                          </w:p>
                          <w:p>
                            <w:pPr>
                              <w:jc w:val="center"/>
                              <w:rPr>
                                <w:rFonts w:ascii="Times New Roman" w:hAnsi="Times New Roman" w:cs="Times New Roman"/>
                                <w:sz w:val="24"/>
                                <w:szCs w:val="24"/>
                              </w:rPr>
                            </w:pPr>
                            <w:r>
                              <w:rPr>
                                <w:rFonts w:ascii="Times New Roman" w:hAnsi="Times New Roman" w:cs="Times New Roman"/>
                                <w:sz w:val="24"/>
                                <w:szCs w:val="24"/>
                              </w:rPr>
                              <w:t xml:space="preserve">Coaching will take place during working hours. </w:t>
                            </w:r>
                          </w:p>
                          <w:p>
                            <w:pPr>
                              <w:jc w:val="center"/>
                              <w:rPr>
                                <w:rFonts w:ascii="Times New Roman" w:hAnsi="Times New Roman" w:cs="Times New Roman"/>
                                <w:sz w:val="24"/>
                                <w:szCs w:val="24"/>
                              </w:rPr>
                            </w:pPr>
                            <w:r>
                              <w:rPr>
                                <w:rFonts w:ascii="Times New Roman" w:hAnsi="Times New Roman" w:cs="Times New Roman"/>
                                <w:sz w:val="24"/>
                                <w:szCs w:val="24"/>
                              </w:rPr>
                              <w:t xml:space="preserve">Application of pain assessment scale -Post operative nursing care </w:t>
                            </w:r>
                          </w:p>
                          <w:p>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8" o:spid="_x0000_s1026" o:spt="1" style="position:absolute;left:0pt;margin-left:-27.6pt;margin-top:14.4pt;height:349.8pt;width:103.2pt;mso-wrap-distance-bottom:0pt;mso-wrap-distance-left:9pt;mso-wrap-distance-right:9pt;mso-wrap-distance-top:0pt;z-index:251661312;v-text-anchor:middle;mso-width-relative:page;mso-height-relative:page;" fillcolor="#FFFFFF [3201]" filled="t" stroked="t" coordsize="21600,21600" o:gfxdata="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NNjLSPWAAAACgEAAA8AAAAAAAAAAQAgAAAAIgAAAGRycy9kb3ducmV2Lnht&#10;bFBLAQIUABQAAAAIAIdO4kC3BxlUbQIAAAUFAAAOAAAAAAAAAAEAIAAAACUBAABkcnMvZTJvRG9j&#10;LnhtbFBLBQYAAAAABgAGAFkBAAAEBgAAAAA=&#10;">
                <v:fill on="t" focussize="0,0"/>
                <v:stroke weight="1pt" color="#000000 [3200]" miterlimit="8" joinstyle="miter"/>
                <v:imagedata o:title=""/>
                <o:lock v:ext="edit" aspectratio="f"/>
                <v:textbox>
                  <w:txbxContent>
                    <w:p>
                      <w:pPr>
                        <w:jc w:val="center"/>
                        <w:rPr>
                          <w:rFonts w:ascii="Times New Roman" w:hAnsi="Times New Roman" w:cs="Times New Roman"/>
                          <w:b/>
                          <w:bCs/>
                          <w:sz w:val="24"/>
                          <w:szCs w:val="24"/>
                        </w:rPr>
                      </w:pPr>
                      <w:r>
                        <w:rPr>
                          <w:rFonts w:ascii="Times New Roman" w:hAnsi="Times New Roman" w:cs="Times New Roman"/>
                          <w:b/>
                          <w:bCs/>
                          <w:sz w:val="24"/>
                          <w:szCs w:val="24"/>
                        </w:rPr>
                        <w:t xml:space="preserve">CONTEXT OF COUCHING </w:t>
                      </w:r>
                    </w:p>
                    <w:p>
                      <w:pPr>
                        <w:jc w:val="center"/>
                        <w:rPr>
                          <w:rFonts w:ascii="Times New Roman" w:hAnsi="Times New Roman" w:cs="Times New Roman"/>
                          <w:sz w:val="24"/>
                          <w:szCs w:val="24"/>
                        </w:rPr>
                      </w:pPr>
                      <w:r>
                        <w:rPr>
                          <w:rFonts w:ascii="Times New Roman" w:hAnsi="Times New Roman" w:cs="Times New Roman"/>
                          <w:sz w:val="24"/>
                          <w:szCs w:val="24"/>
                        </w:rPr>
                        <w:t xml:space="preserve">Nurses &amp; midwives on the surgical &amp; obstetric ward </w:t>
                      </w:r>
                    </w:p>
                    <w:p>
                      <w:pPr>
                        <w:jc w:val="center"/>
                        <w:rPr>
                          <w:rFonts w:ascii="Times New Roman" w:hAnsi="Times New Roman" w:cs="Times New Roman"/>
                          <w:sz w:val="24"/>
                          <w:szCs w:val="24"/>
                        </w:rPr>
                      </w:pPr>
                      <w:r>
                        <w:rPr>
                          <w:rFonts w:ascii="Times New Roman" w:hAnsi="Times New Roman" w:cs="Times New Roman"/>
                          <w:sz w:val="24"/>
                          <w:szCs w:val="24"/>
                        </w:rPr>
                        <w:t xml:space="preserve">Pre assessment of the nurse’s knowledge, attitude, &amp; practice </w:t>
                      </w:r>
                    </w:p>
                    <w:p>
                      <w:pPr>
                        <w:jc w:val="center"/>
                        <w:rPr>
                          <w:rFonts w:ascii="Times New Roman" w:hAnsi="Times New Roman" w:cs="Times New Roman"/>
                          <w:sz w:val="24"/>
                          <w:szCs w:val="24"/>
                        </w:rPr>
                      </w:pPr>
                      <w:r>
                        <w:rPr>
                          <w:rFonts w:ascii="Times New Roman" w:hAnsi="Times New Roman" w:cs="Times New Roman"/>
                          <w:sz w:val="24"/>
                          <w:szCs w:val="24"/>
                        </w:rPr>
                        <w:t xml:space="preserve">Coaching will take place during working hours. </w:t>
                      </w:r>
                    </w:p>
                    <w:p>
                      <w:pPr>
                        <w:jc w:val="center"/>
                        <w:rPr>
                          <w:rFonts w:ascii="Times New Roman" w:hAnsi="Times New Roman" w:cs="Times New Roman"/>
                          <w:sz w:val="24"/>
                          <w:szCs w:val="24"/>
                        </w:rPr>
                      </w:pPr>
                      <w:r>
                        <w:rPr>
                          <w:rFonts w:ascii="Times New Roman" w:hAnsi="Times New Roman" w:cs="Times New Roman"/>
                          <w:sz w:val="24"/>
                          <w:szCs w:val="24"/>
                        </w:rPr>
                        <w:t xml:space="preserve">Application of pain assessment scale -Post operative nursing care </w:t>
                      </w:r>
                    </w:p>
                    <w:p>
                      <w:pPr>
                        <w:jc w:val="center"/>
                        <w:rPr>
                          <w:rFonts w:ascii="Times New Roman" w:hAnsi="Times New Roman" w:cs="Times New Roman"/>
                          <w:sz w:val="24"/>
                          <w:szCs w:val="24"/>
                        </w:rPr>
                      </w:pPr>
                    </w:p>
                  </w:txbxContent>
                </v:textbox>
                <w10:wrap type="square"/>
              </v:rect>
            </w:pict>
          </mc:Fallback>
        </mc:AlternateContent>
      </w:r>
    </w:p>
    <w:p>
      <w:pPr>
        <w:spacing w:before="100" w:beforeAutospacing="1" w:after="100" w:afterAutospacing="1" w:line="480" w:lineRule="auto"/>
        <w:ind w:left="720" w:right="720" w:firstLine="720"/>
        <w:rPr>
          <w:rFonts w:ascii="Times New Roman" w:hAnsi="Times New Roman" w:cs="Times New Roman"/>
          <w:sz w:val="24"/>
          <w:szCs w:val="24"/>
        </w:rPr>
      </w:pPr>
    </w:p>
    <w:p>
      <w:pPr>
        <w:spacing w:before="100" w:beforeAutospacing="1" w:after="100" w:afterAutospacing="1" w:line="480" w:lineRule="auto"/>
        <w:ind w:left="720" w:right="720" w:firstLine="720"/>
        <w:rPr>
          <w:rFonts w:ascii="Times New Roman" w:hAnsi="Times New Roman" w:cs="Times New Roman"/>
          <w:sz w:val="24"/>
          <w:szCs w:val="24"/>
        </w:rPr>
      </w:pPr>
    </w:p>
    <w:p>
      <w:pPr>
        <w:spacing w:before="100" w:beforeAutospacing="1" w:after="100" w:afterAutospacing="1" w:line="480" w:lineRule="auto"/>
        <w:ind w:right="720"/>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65408" behindDoc="0" locked="0" layoutInCell="1" allowOverlap="1">
                <wp:simplePos x="0" y="0"/>
                <wp:positionH relativeFrom="column">
                  <wp:posOffset>967740</wp:posOffset>
                </wp:positionH>
                <wp:positionV relativeFrom="paragraph">
                  <wp:posOffset>499110</wp:posOffset>
                </wp:positionV>
                <wp:extent cx="350520" cy="556895"/>
                <wp:effectExtent l="0" t="38100" r="30480" b="52705"/>
                <wp:wrapNone/>
                <wp:docPr id="36" name="Arrow: Right 36"/>
                <wp:cNvGraphicFramePr/>
                <a:graphic xmlns:a="http://schemas.openxmlformats.org/drawingml/2006/main">
                  <a:graphicData uri="http://schemas.microsoft.com/office/word/2010/wordprocessingShape">
                    <wps:wsp>
                      <wps:cNvSpPr/>
                      <wps:spPr>
                        <a:xfrm>
                          <a:off x="0" y="0"/>
                          <a:ext cx="350520" cy="556895"/>
                        </a:xfrm>
                        <a:prstGeom prst="rightArrow">
                          <a:avLst/>
                        </a:prstGeom>
                      </wps:spPr>
                      <wps:style>
                        <a:lnRef idx="2">
                          <a:schemeClr val="dk1"/>
                        </a:lnRef>
                        <a:fillRef idx="1">
                          <a:schemeClr val="lt1"/>
                        </a:fillRef>
                        <a:effectRef idx="0">
                          <a:schemeClr val="dk1"/>
                        </a:effectRef>
                        <a:fontRef idx="minor">
                          <a:schemeClr val="dk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Arrow: Right 36" o:spid="_x0000_s1026" o:spt="13" type="#_x0000_t13" style="position:absolute;left:0pt;margin-left:76.2pt;margin-top:39.3pt;height:43.85pt;width:27.6pt;z-index:251665408;v-text-anchor:middle;mso-width-relative:page;mso-height-relative:page;" fillcolor="#FFFFFF [3201]" filled="t" stroked="t" coordsize="21600,21600" o:gfxdata="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omGTkdkAAAAKAQAADwAAAAAAAAABACAAAAAiAAAAZHJzL2Rvd25y&#10;ZXYueG1sUEsBAhQAFAAAAAgAh07iQDZR2KdvAgAADAUAAA4AAAAAAAAAAQAgAAAAKAEAAGRycy9l&#10;Mm9Eb2MueG1sUEsFBgAAAAAGAAYAWQEAAAkGAAAAAA==&#10;" adj="10800,5400">
                <v:fill on="t" focussize="0,0"/>
                <v:stroke weight="1pt" color="#000000 [3200]" miterlimit="8" joinstyle="miter"/>
                <v:imagedata o:title=""/>
                <o:lock v:ext="edit" aspectratio="f"/>
                <v:textbox>
                  <w:txbxContent>
                    <w:p>
                      <w:pPr>
                        <w:jc w:val="center"/>
                      </w:pP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6432" behindDoc="0" locked="0" layoutInCell="1" allowOverlap="1">
                <wp:simplePos x="0" y="0"/>
                <wp:positionH relativeFrom="column">
                  <wp:posOffset>2537460</wp:posOffset>
                </wp:positionH>
                <wp:positionV relativeFrom="paragraph">
                  <wp:posOffset>499110</wp:posOffset>
                </wp:positionV>
                <wp:extent cx="297180" cy="484505"/>
                <wp:effectExtent l="0" t="38100" r="45720" b="48895"/>
                <wp:wrapNone/>
                <wp:docPr id="35" name="Arrow: Right 35"/>
                <wp:cNvGraphicFramePr/>
                <a:graphic xmlns:a="http://schemas.openxmlformats.org/drawingml/2006/main">
                  <a:graphicData uri="http://schemas.microsoft.com/office/word/2010/wordprocessingShape">
                    <wps:wsp>
                      <wps:cNvSpPr/>
                      <wps:spPr>
                        <a:xfrm>
                          <a:off x="0" y="0"/>
                          <a:ext cx="297180" cy="484505"/>
                        </a:xfrm>
                        <a:prstGeom prst="rightArrow">
                          <a:avLst/>
                        </a:prstGeom>
                      </wps:spPr>
                      <wps:style>
                        <a:lnRef idx="2">
                          <a:schemeClr val="dk1"/>
                        </a:lnRef>
                        <a:fillRef idx="1">
                          <a:schemeClr val="lt1"/>
                        </a:fillRef>
                        <a:effectRef idx="0">
                          <a:schemeClr val="dk1"/>
                        </a:effectRef>
                        <a:fontRef idx="minor">
                          <a:schemeClr val="dk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Arrow: Right 35" o:spid="_x0000_s1026" o:spt="13" type="#_x0000_t13" style="position:absolute;left:0pt;margin-left:199.8pt;margin-top:39.3pt;height:38.15pt;width:23.4pt;z-index:251666432;v-text-anchor:middle;mso-width-relative:page;mso-height-relative:page;" fillcolor="#FFFFFF [3201]" filled="t" stroked="t" coordsize="21600,21600" o:gfxdata="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0NycRtoAAAAKAQAADwAAAAAAAAABACAAAAAiAAAAZHJzL2Rv&#10;d25yZXYueG1sUEsBAhQAFAAAAAgAh07iQMargrxxAgAADAUAAA4AAAAAAAAAAQAgAAAAKQEAAGRy&#10;cy9lMm9Eb2MueG1sUEsFBgAAAAAGAAYAWQEAAAwGAAAAAA==&#10;" adj="10800,5400">
                <v:fill on="t" focussize="0,0"/>
                <v:stroke weight="1pt" color="#000000 [3200]" miterlimit="8" joinstyle="miter"/>
                <v:imagedata o:title=""/>
                <o:lock v:ext="edit" aspectratio="f"/>
                <v:textbox>
                  <w:txbxContent>
                    <w:p>
                      <w:pPr>
                        <w:jc w:val="center"/>
                      </w:pPr>
                    </w:p>
                  </w:txbxContent>
                </v:textbox>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7456" behindDoc="0" locked="0" layoutInCell="1" allowOverlap="1">
                <wp:simplePos x="0" y="0"/>
                <wp:positionH relativeFrom="column">
                  <wp:posOffset>4274820</wp:posOffset>
                </wp:positionH>
                <wp:positionV relativeFrom="paragraph">
                  <wp:posOffset>491490</wp:posOffset>
                </wp:positionV>
                <wp:extent cx="342900" cy="483870"/>
                <wp:effectExtent l="0" t="38100" r="38100" b="49530"/>
                <wp:wrapNone/>
                <wp:docPr id="34" name="Arrow: Right 34"/>
                <wp:cNvGraphicFramePr/>
                <a:graphic xmlns:a="http://schemas.openxmlformats.org/drawingml/2006/main">
                  <a:graphicData uri="http://schemas.microsoft.com/office/word/2010/wordprocessingShape">
                    <wps:wsp>
                      <wps:cNvSpPr/>
                      <wps:spPr>
                        <a:xfrm>
                          <a:off x="0" y="0"/>
                          <a:ext cx="342900" cy="483870"/>
                        </a:xfrm>
                        <a:prstGeom prst="rightArrow">
                          <a:avLst/>
                        </a:prstGeom>
                      </wps:spPr>
                      <wps:style>
                        <a:lnRef idx="2">
                          <a:schemeClr val="dk1"/>
                        </a:lnRef>
                        <a:fillRef idx="1">
                          <a:schemeClr val="lt1"/>
                        </a:fillRef>
                        <a:effectRef idx="0">
                          <a:schemeClr val="dk1"/>
                        </a:effectRef>
                        <a:fontRef idx="minor">
                          <a:schemeClr val="dk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Arrow: Right 34" o:spid="_x0000_s1026" o:spt="13" type="#_x0000_t13" style="position:absolute;left:0pt;margin-left:336.6pt;margin-top:38.7pt;height:38.1pt;width:27pt;z-index:251667456;v-text-anchor:middle;mso-width-relative:page;mso-height-relative:page;" fillcolor="#FFFFFF [3201]" filled="t" stroked="t" coordsize="21600,21600" o:gfxdata="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C3HvOt2QAAAAoBAAAPAAAAAAAAAAEAIAAAACIAAABkcnMvZG93&#10;bnJldi54bWxQSwECFAAUAAAACACHTuJAeatQjnECAAAMBQAADgAAAAAAAAABACAAAAAoAQAAZHJz&#10;L2Uyb0RvYy54bWxQSwUGAAAAAAYABgBZAQAACwYAAAAA&#10;" adj="10800,5400">
                <v:fill on="t" focussize="0,0"/>
                <v:stroke weight="1pt" color="#000000 [3200]" miterlimit="8" joinstyle="miter"/>
                <v:imagedata o:title=""/>
                <o:lock v:ext="edit" aspectratio="f"/>
                <v:textbox>
                  <w:txbxContent>
                    <w:p>
                      <w:pPr>
                        <w:jc w:val="center"/>
                      </w:pPr>
                    </w:p>
                  </w:txbxContent>
                </v:textbox>
              </v:shape>
            </w:pict>
          </mc:Fallback>
        </mc:AlternateContent>
      </w:r>
    </w:p>
    <w:p>
      <w:pPr>
        <w:spacing w:before="100" w:beforeAutospacing="1" w:after="100" w:afterAutospacing="1" w:line="480" w:lineRule="auto"/>
        <w:ind w:left="720" w:right="720" w:firstLine="720"/>
        <w:rPr>
          <w:rFonts w:ascii="Times New Roman" w:hAnsi="Times New Roman" w:cs="Times New Roman"/>
          <w:sz w:val="24"/>
          <w:szCs w:val="24"/>
        </w:rPr>
      </w:pPr>
    </w:p>
    <w:p>
      <w:pPr>
        <w:spacing w:before="100" w:beforeAutospacing="1" w:after="100" w:afterAutospacing="1" w:line="480" w:lineRule="auto"/>
        <w:ind w:left="720" w:right="720" w:firstLine="720"/>
        <w:rPr>
          <w:rFonts w:ascii="Times New Roman" w:hAnsi="Times New Roman" w:cs="Times New Roman"/>
          <w:b/>
          <w:bCs/>
          <w:sz w:val="24"/>
          <w:szCs w:val="24"/>
        </w:rPr>
      </w:pPr>
    </w:p>
    <w:p>
      <w:pPr>
        <w:spacing w:before="100" w:beforeAutospacing="1" w:after="100" w:afterAutospacing="1" w:line="480" w:lineRule="auto"/>
        <w:ind w:left="720" w:right="720" w:firstLine="720"/>
        <w:rPr>
          <w:rFonts w:ascii="Times New Roman" w:hAnsi="Times New Roman" w:cs="Times New Roman"/>
          <w:b/>
          <w:bCs/>
          <w:sz w:val="24"/>
          <w:szCs w:val="24"/>
        </w:rPr>
      </w:pPr>
    </w:p>
    <w:p>
      <w:pPr>
        <w:spacing w:before="100" w:beforeAutospacing="1" w:after="100" w:afterAutospacing="1" w:line="480" w:lineRule="auto"/>
        <w:ind w:left="720" w:right="720"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pPr>
        <w:pStyle w:val="42"/>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right="720"/>
        <w:rPr>
          <w:rFonts w:ascii="Times New Roman" w:hAnsi="Times New Roman" w:cs="Times New Roman"/>
          <w:b/>
          <w:bCs/>
          <w:sz w:val="24"/>
          <w:szCs w:val="24"/>
        </w:rPr>
      </w:pPr>
    </w:p>
    <w:p>
      <w:pPr>
        <w:pStyle w:val="42"/>
        <w:spacing w:line="480" w:lineRule="auto"/>
        <w:ind w:right="720"/>
        <w:rPr>
          <w:rFonts w:ascii="Times New Roman" w:hAnsi="Times New Roman" w:cs="Times New Roman"/>
          <w:b/>
          <w:bCs/>
          <w:sz w:val="24"/>
          <w:szCs w:val="24"/>
        </w:rPr>
      </w:pPr>
    </w:p>
    <w:p>
      <w:pPr>
        <w:pStyle w:val="42"/>
        <w:spacing w:line="480" w:lineRule="auto"/>
        <w:ind w:right="720"/>
        <w:rPr>
          <w:rFonts w:ascii="Times New Roman" w:hAnsi="Times New Roman" w:cs="Times New Roman"/>
          <w:b/>
          <w:bCs/>
          <w:sz w:val="24"/>
          <w:szCs w:val="24"/>
        </w:rPr>
      </w:pPr>
    </w:p>
    <w:p>
      <w:pPr>
        <w:pStyle w:val="42"/>
        <w:spacing w:line="480" w:lineRule="auto"/>
        <w:ind w:right="720"/>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42"/>
        <w:spacing w:line="480" w:lineRule="auto"/>
        <w:ind w:left="720" w:right="720"/>
        <w:jc w:val="center"/>
        <w:rPr>
          <w:rFonts w:ascii="Times New Roman" w:hAnsi="Times New Roman" w:cs="Times New Roman"/>
          <w:b/>
          <w:bCs/>
          <w:sz w:val="24"/>
          <w:szCs w:val="24"/>
        </w:rPr>
      </w:pPr>
    </w:p>
    <w:p>
      <w:pPr>
        <w:pStyle w:val="3"/>
        <w:jc w:val="center"/>
        <w:rPr>
          <w:rFonts w:ascii="Times New Roman" w:hAnsi="Times New Roman" w:cs="Times New Roman"/>
          <w:b w:val="0"/>
          <w:sz w:val="24"/>
          <w:szCs w:val="24"/>
        </w:rPr>
      </w:pPr>
      <w:bookmarkStart w:id="53" w:name="_Toc142753391"/>
      <w:r>
        <w:rPr>
          <w:rFonts w:ascii="Times New Roman" w:hAnsi="Times New Roman" w:cs="Times New Roman"/>
          <w:sz w:val="24"/>
          <w:szCs w:val="24"/>
        </w:rPr>
        <w:t>Chapter Two: Literature Review</w:t>
      </w:r>
      <w:bookmarkEnd w:id="53"/>
    </w:p>
    <w:p>
      <w:pPr>
        <w:autoSpaceDE w:val="0"/>
        <w:autoSpaceDN w:val="0"/>
        <w:adjustRightInd w:val="0"/>
        <w:spacing w:before="100" w:beforeAutospacing="1" w:after="100" w:afterAutospacing="1"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The literature review focused on the nurse’s knowledge, attitude, and practice towards post-operative pain management, and the three main concepts of the study were well addressed.</w:t>
      </w:r>
    </w:p>
    <w:p>
      <w:pPr>
        <w:pStyle w:val="3"/>
        <w:rPr>
          <w:rFonts w:ascii="Times New Roman" w:hAnsi="Times New Roman" w:cs="Times New Roman"/>
          <w:b w:val="0"/>
          <w:sz w:val="24"/>
          <w:szCs w:val="24"/>
        </w:rPr>
      </w:pPr>
      <w:bookmarkStart w:id="54" w:name="_Toc142753392"/>
      <w:bookmarkStart w:id="55" w:name="_Toc134604139"/>
      <w:r>
        <w:rPr>
          <w:rFonts w:ascii="Times New Roman" w:hAnsi="Times New Roman" w:cs="Times New Roman"/>
          <w:sz w:val="24"/>
          <w:szCs w:val="24"/>
        </w:rPr>
        <w:t>Nurse’s knowledge towards postoperative pain assessment.</w:t>
      </w:r>
      <w:bookmarkEnd w:id="54"/>
      <w:bookmarkEnd w:id="55"/>
    </w:p>
    <w:p>
      <w:pPr>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nurse's knowledge is their awareness of the fundamental concepts involved in assessing and treating pain. </w:t>
      </w:r>
      <w:r>
        <w:rPr>
          <w:rFonts w:ascii="Times New Roman" w:hAnsi="Times New Roman" w:cs="Times New Roman" w:eastAsiaTheme="minorEastAsia"/>
          <w:sz w:val="24"/>
          <w:szCs w:val="24"/>
        </w:rPr>
        <w:t>The nurse's knowledge affects how well post-operative pain is managed. For the best decision to be made on providing quality care and support, a proper nursing assessment of the patients' pain is essential. In the evaluation and treatment of pain, nurses are indispensable.</w:t>
      </w:r>
      <w:r>
        <w:rPr>
          <w:rFonts w:ascii="Times New Roman" w:hAnsi="Times New Roman" w:cs="Times New Roman"/>
          <w:sz w:val="24"/>
          <w:szCs w:val="24"/>
          <w:shd w:val="clear" w:color="auto" w:fill="FFFFFF"/>
        </w:rPr>
        <w:t xml:space="preserve"> There are some obstacles within the healthcare system that cause postoperative pain to be assessed incorrectly by nurses, doctors, patients, and their caregivers. As a result, the aforementioned obstacles directly contribute to the ineffective assessment of pain, which leads to complete failure in the implementation of the necessary measures for postoperative pain management.</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{"citationItems":[{"id":"ITEM-1","itemData":{"DOI":"10.1016/j.pmn.2014.02.002","ISSN":"15249042","PMID":"24981120","abstract":"Undertreatment of postoperative pain can aggravate patient outcomes and is associated with attending nurses' knowledge deficits or negative attitudes toward pain. The aim of this study was to investigate knowledge and attitudes toward postoperative pain of surgical department nurses and to identify predictors of their knowledge and attitudes. This was a descriptive, cross-sectional survey that took place in the departments of general surgery, orthopedics, neurosurgery, ear-nose-throat surgery, and obstetrics/gynecology at five Greek hospitals. Participants were a convenience sample of registered and assistant nurses. Nurses were asked to complete a three-section questionnaire, which included demographics, a Knowledge and Attitudes Survey Regarding Pain (KASRP) tool modified for postoperative pain, and seven questions capturing personal characteristics, working conditions, and feelings about work. One hundred eighty-two questionnaires were completed. Average scores were 45.35% for modified KASRP tool; 28.57% for pain assessment; 55.44% for general pain management; and 47.13% for use of analgesics. Four of the five most commonly missed items referred to use of analgesics. More previous personal experience of postoperative pain (. p = .002) and being a registered nurse (. p = .015) predicted higher modified KASRP tool score. Participation in continuing education programs and department of employment were also associated with differences in the modified tool score. The knowledge deficits and negative attitudes of the nurses toward postoperative pain highlight the role of pregraduate and continuing education, appropriately specialized for each surgical department, in the development of empathy toward patients in pain and of clinical competency regarding pain assessment and administration of analgesics.","author":[{"dropping-particle":"","family":"Kiekkas","given":"Panagiotis","non-dropping-particle":"","parse-names":false,"suffix":""},{"dropping-particle":"","family":"Gardeli","given":"Panagiota","non-dropping-particle":"","parse-names":false,"suffix":""},{"dropping-particle":"","family":"Bakalis","given":"Nick","non-dropping-particle":"","parse-names":false,"suffix":""},{"dropping-particle":"","family":"Stefanopoulos","given":"Nikolaos","non-dropping-particle":"","parse-names":false,"suffix":""},{"dropping-particle":"","family":"Adamopoulou","given":"Katerina","non-dropping-particle":"","parse-names":false,"suffix":""},{"dropping-particle":"","family":"Avdulla","given":"Christos","non-dropping-particle":"","parse-names":false,"suffix":""},{"dropping-particle":"","family":"Tzourala","given":"Georgia","non-dropping-particle":"","parse-names":false,"suffix":""},{"dropping-particle":"","family":"Konstantinou","given":"Evangelos","non-dropping-particle":"","parse-names":false,"suffix":""}],"container-title":"Pain Management Nursing","id":"ITEM-1","issue":"1","issued":{"date-parts":[["2015"]]},"page":"2-10","publisher":"American Society for Pain Management Nursing","title":"Predictors of Nurses' Knowledge and Attitudes Toward Postoperative Pain in Greece","type":"article-journal","volume":"16"},"uris":["http://www.mendeley.com/documents/?uuid=a4019826-c566-4378-925c-21dcd4f7ea1b"]}],"mendeley":{"formattedCitation":"(Kiekkas et al., 2015)","manualFormatting":"(Kiekkas et al., 2015)","plainTextFormattedCitation":"(Kiekkas et al., 2015)","previouslyFormattedCitation":"(Kiekkas et al.,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(Kiekkas et al., 2015)</w:t>
      </w:r>
      <w:r>
        <w:rPr>
          <w:rFonts w:ascii="Times New Roman" w:hAnsi="Times New Roman" w:cs="Times New Roman"/>
          <w:sz w:val="24"/>
          <w:szCs w:val="24"/>
        </w:rPr>
        <w:fldChar w:fldCharType="end"/>
      </w:r>
      <w:r>
        <w:rPr>
          <w:rFonts w:ascii="Times New Roman" w:hAnsi="Times New Roman" w:cs="Times New Roman"/>
          <w:sz w:val="24"/>
          <w:szCs w:val="24"/>
          <w:shd w:val="clear" w:color="auto" w:fill="FFFFFF"/>
        </w:rPr>
        <w:t xml:space="preserve">. </w:t>
      </w:r>
      <w:r>
        <w:rPr>
          <w:rFonts w:ascii="Times New Roman" w:hAnsi="Times New Roman" w:cs="Times New Roman"/>
          <w:bCs/>
          <w:sz w:val="24"/>
          <w:szCs w:val="24"/>
          <w:shd w:val="clear" w:color="auto" w:fill="FFFFFF"/>
        </w:rPr>
        <w:t>This necessitates a study to determine the impact of including the pain assessment scale on nurses' understanding of post-operative pain treatment.</w:t>
      </w:r>
    </w:p>
    <w:p>
      <w:pPr>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eastAsiaTheme="minorEastAsia"/>
          <w:bCs/>
          <w:sz w:val="24"/>
          <w:szCs w:val="24"/>
        </w:rPr>
        <w:t>In a descriptive cross-sectional study, Kiwanuka and Masaba (2018) evaluated the level of knowledge among nurses at the Uganda Cancer Institute, Mulago National Referral Hospital, Kampala, Uganda, regarding pain assessment.</w:t>
      </w:r>
      <w:r>
        <w:rPr>
          <w:rFonts w:ascii="Times New Roman" w:hAnsi="Times New Roman" w:cs="Times New Roman"/>
          <w:sz w:val="24"/>
          <w:szCs w:val="24"/>
          <w:shd w:val="clear" w:color="auto" w:fill="FFFFFF"/>
        </w:rPr>
        <w:t xml:space="preserve"> </w:t>
      </w:r>
      <w:r>
        <w:rPr>
          <w:rFonts w:ascii="Times New Roman" w:hAnsi="Times New Roman" w:cs="Times New Roman" w:eastAsiaTheme="minorEastAsia"/>
          <w:sz w:val="24"/>
          <w:szCs w:val="24"/>
        </w:rPr>
        <w:t>The data demonstrated that the nurses had adequate understanding regarding pain evaluation. The majority of the respondents were able to give right answers on numerous qualities about expertise on pain evaluation. Of the 67 individuals, more than six seven percent (67.2%) were able to identify signs of pain intensity.</w:t>
      </w:r>
      <w:r>
        <w:rPr>
          <w:rFonts w:ascii="Times New Roman" w:hAnsi="Times New Roman" w:cs="Times New Roman"/>
          <w:sz w:val="24"/>
          <w:szCs w:val="24"/>
          <w:shd w:val="clear" w:color="auto" w:fill="FFFFFF"/>
        </w:rPr>
        <w:t xml:space="preserve"> Indicating good knowledge of pain management, the overall knowledge scale's average correct answer rate was 12 (interval: 0–16). </w:t>
      </w:r>
      <w:r>
        <w:rPr>
          <w:rFonts w:ascii="Times New Roman" w:hAnsi="Times New Roman" w:cs="Times New Roman" w:eastAsiaTheme="minorEastAsia"/>
          <w:sz w:val="24"/>
          <w:szCs w:val="24"/>
        </w:rPr>
        <w:t>The nurses should have adequate knowledge to assess whether a patient is going through inner, emotional, psychological and physical pain. In order to determine whether a patient is experiencing internal, emotional, psychological, or physical discomfort, nurses need be sufficiently knowledgeable.</w:t>
      </w:r>
    </w:p>
    <w:p>
      <w:pPr>
        <w:autoSpaceDE w:val="0"/>
        <w:autoSpaceDN w:val="0"/>
        <w:adjustRightInd w:val="0"/>
        <w:spacing w:before="100" w:beforeAutospacing="1" w:after="100" w:afterAutospacing="1" w:line="480" w:lineRule="auto"/>
        <w:ind w:firstLine="720"/>
        <w:jc w:val="both"/>
        <w:rPr>
          <w:rFonts w:ascii="Times New Roman" w:hAnsi="Times New Roman" w:cs="Times New Roman" w:eastAsiaTheme="minorEastAsia"/>
          <w:sz w:val="24"/>
          <w:szCs w:val="24"/>
        </w:rPr>
      </w:pP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{"citationItems":[{"id":"ITEM-1","itemData":{"DOI":"10.1111/jjns.12075","ISSN":"17427924","PMID":"25781037","abstract":"Aim: To provide an overview of the administration of opioid analgesics by nurses when prescription is on an \"as-needed\" basis for postoperative pain, and to identify the important factors that determine the decisions of nurses, by using the framework of predisposing, reinforcing, and enabling causes in educational diagnosis and evaluation. Methods: Multiple databases were searched for the period from 2000-2012. Out of a total of 1755 citations and 148 abstracts retrieved, 39 studies met the criteria for inclusion. Studies were considered eligible for review if they focused on situations or factors influencing a nurse's performance in pain assessment and the administration of opioid analgesics in postoperative pain management. Results: The topics of the descriptive and qualitative studies presented four themes: (i) nurses' knowledge and attitudes about pain management; (ii) the situation of nurses' work practices in administrating range orders for opioid analgesics; (iii) factors that influenced nurses' work practices; and (iv) perceived barriers to effective pain management from the nurse's perspective. The experimental studies investigated the effects of different approaches in nurses' pain management practices in postoperative settings and their outcomes for patients. Conclusion: A knowledge deficit was observed to be the reason in most cases for a nurse's failure to administrate adequate analgesics for postoperative pain relief. Pain-related education for nurses is the cornerstone to improve pain management. The integration of enabling and reinforcing factors will help nurses to develop the ability to make the decision to engage in a comprehensive intervention to improve pain management and patient outcomes.","author":[{"dropping-particle":"","family":"Yin","given":"Hai Hui","non-dropping-particle":"","parse-names":false,"suffix":""},{"dropping-particle":"","family":"Tse","given":"Mimi M.Y.","non-dropping-particle":"","parse-names":false,"suffix":""},{"dropping-particle":"","family":"Wong","given":"Frances K.Y.","non-dropping-particle":"","parse-names":false,"suffix":""}],"container-title":"Japan Journal of Nursing Science","id":"ITEM-1","issue":"4","issued":{"date-parts":[["2015"]]},"page":"259-275","title":"Systematic review of the predisposing, enabling, and reinforcing factors which influence nursing administration of opioids in the postoperative period","type":"article-journal","volume":"12"},"uris":["http://www.mendeley.com/documents/?uuid=109a71ab-ab5c-415d-9ff8-810b4b466022"]}],"mendeley":{"formattedCitation":"(Yin et al., 2015)","manualFormatting":"Yin, Tse and Wong (2015)","plainTextFormattedCitation":"(Yin et al., 2015)","previouslyFormattedCitation":"(Yin et al., 2015)"},"properties":{"noteIndex":0},"schema":"https://github.com/citation-style-language/schema/raw/master/csl-citation.json"}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Yin, Tse and Wong (2015)</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w:t>
      </w:r>
      <w:r>
        <w:rPr>
          <w:rFonts w:ascii="Times New Roman" w:hAnsi="Times New Roman" w:cs="Times New Roman" w:eastAsiaTheme="minorEastAsia"/>
          <w:sz w:val="24"/>
          <w:szCs w:val="24"/>
        </w:rPr>
        <w:t>using the framework of predisposing, reinforcing, and enabling causes in educational diagnosis and evaluation, a systematic review was conducted to provide an overview of the administration of opioid analgesics by nurses when prescription is on “as-needed" basis for postoperative pain and to identify the significant factors that influence nurses' decisions.</w:t>
      </w:r>
    </w:p>
    <w:p>
      <w:pPr>
        <w:autoSpaceDE w:val="0"/>
        <w:autoSpaceDN w:val="0"/>
        <w:adjustRightInd w:val="0"/>
        <w:spacing w:before="100" w:beforeAutospacing="1" w:after="100" w:afterAutospacing="1" w:line="480" w:lineRule="auto"/>
        <w:jc w:val="both"/>
        <w:rPr>
          <w:rFonts w:ascii="Times New Roman" w:hAnsi="Times New Roman" w:cs="Times New Roman" w:eastAsiaTheme="minorEastAsia"/>
          <w:sz w:val="24"/>
          <w:szCs w:val="24"/>
        </w:rPr>
      </w:pPr>
      <w:r>
        <w:rPr>
          <w:rFonts w:ascii="Times New Roman" w:hAnsi="Times New Roman" w:cs="Times New Roman" w:eastAsiaTheme="minorEastAsia"/>
          <w:sz w:val="24"/>
          <w:szCs w:val="24"/>
        </w:rPr>
        <w:t>The results demonstrated that nurses' failure to provide enough analgesics for postoperative pain management was due to a knowledge deficit. The key to better pain management is educating nurses about pain. Despite all the mentioned measures used in post-operative management, it’s not mentioned anywhere that pain assessment was applied, making it crucial to be applied in post-operative pain management.</w:t>
      </w:r>
    </w:p>
    <w:p>
      <w:pPr>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 private tertiary care hospital in Peshawar, Pakistan, a quantitative descriptive cross-sectional study was done to examine nurses' understanding of post-operative pain management. </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10.4172/2472-1654.100151","author":[{"dropping-particle":"","family":"Zeb","given":"Aurang","non-dropping-particle":"","parse-names":false,"suffix":""},{"dropping-particle":"","family":"Farhana","given":"","non-dropping-particle":"","parse-names":false,"suffix":""},{"dropping-particle":"","family":"Jewewria","given":"","non-dropping-particle":"","parse-names":false,"suffix":""},{"dropping-particle":"","family":"Marym","given":"","non-dropping-particle":"","parse-names":false,"suffix":""},{"dropping-particle":"","family":"Nadra Bi Bi","given":"Uzma","non-dropping-particle":"","parse-names":false,"suffix":""}],"container-title":"Journal of Healthcare Communications","id":"ITEM-1","issue":"01","issued":{"date-parts":[["2019"]]},"page":"4-7","title":"Nurses Knowledge Regarding Post-operative Pain Management","type":"article-journal","volume":"04"},"uris":["http://www.mendeley.com/documents/?uuid=abfab5d7-52a6-465b-98e4-3f2782011b63"]}],"mendeley":{"formattedCitation":"(Zeb et al., 2019)","manualFormatting":"Zeb et al. (2019)","plainTextFormattedCitation":"(Zeb et al., 2019)","previouslyFormattedCitation":"(Zeb et al., 2019)"},"properties":{"noteIndex":0},"schema":"https://github.com/citation-style-language/schema/raw/master/csl-citation.json"}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Zeb et al. (2019)</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w:t>
      </w:r>
      <w:r>
        <w:rPr>
          <w:rFonts w:ascii="Times New Roman" w:hAnsi="Times New Roman" w:cs="Times New Roman" w:eastAsiaTheme="minorEastAsia"/>
          <w:sz w:val="24"/>
          <w:szCs w:val="24"/>
        </w:rPr>
        <w:t>discovered that none of the participants had inadequate understanding of post-operative pain treatment, whereas 6.7% of participants had average knowledge, 71.7% had high knowledge, and 21.7% had exceptional knowledge.</w:t>
      </w:r>
      <w:r>
        <w:rPr>
          <w:rFonts w:ascii="Times New Roman" w:hAnsi="Times New Roman" w:cs="Times New Roman"/>
          <w:sz w:val="24"/>
          <w:szCs w:val="24"/>
        </w:rPr>
        <w:t xml:space="preserve"> Ninety five percent of the participants (95%) agreed that pain is described as a bad sensory, emotional, and mental experience brought on by real or probable tissue damage.</w:t>
      </w:r>
    </w:p>
    <w:p>
      <w:pPr>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rPr>
        <w:t>Moreover, 95% of participants believe that pain should be considered as the fifth vital sign, following the pulse, respiration rate, temperature, and blood pressure. Furthermore, more than 78% (78.3%) of the nurses thought that it was possible to tell when a patient was in pain by the way they behaved nonverbally. Besides, nurses are urged to rely on patients' own accounts as the lone source of information regarding the presence and degree of pain.</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10.4172/2472-1654.100151","author":[{"dropping-particle":"","family":"Zeb","given":"Aurang","non-dropping-particle":"","parse-names":false,"suffix":""},{"dropping-particle":"","family":"Farhana","given":"","non-dropping-particle":"","parse-names":false,"suffix":""},{"dropping-particle":"","family":"Jewewria","given":"","non-dropping-particle":"","parse-names":false,"suffix":""},{"dropping-particle":"","family":"Marym","given":"","non-dropping-particle":"","parse-names":false,"suffix":""},{"dropping-particle":"","family":"Nadra Bi Bi","given":"Uzma","non-dropping-particle":"","parse-names":false,"suffix":""}],"container-title":"Journal of Healthcare Communications","id":"ITEM-1","issue":"01","issued":{"date-parts":[["2019"]]},"page":"4-7","title":"Nurses Knowledge Regarding Post-operative Pain Management","type":"article-journal","volume":"04"},"uris":["http://www.mendeley.com/documents/?uuid=abfab5d7-52a6-465b-98e4-3f2782011b63"]}],"mendeley":{"formattedCitation":"(Zeb et al., 2019)","plainTextFormattedCitation":"(Zeb et al., 2019)","previouslyFormattedCitation":"(Zeb et al., 2019)"},"properties":{"noteIndex":0},"schema":"https://github.com/citation-style-language/schema/raw/master/csl-citation.json"}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(Zeb et al., 2019)</w:t>
      </w:r>
      <w:r>
        <w:rPr>
          <w:rFonts w:ascii="Times New Roman" w:hAnsi="Times New Roman" w:cs="Times New Roman"/>
          <w:bCs/>
          <w:sz w:val="24"/>
          <w:szCs w:val="24"/>
        </w:rPr>
        <w:fldChar w:fldCharType="end"/>
      </w:r>
      <w:r>
        <w:rPr>
          <w:rFonts w:ascii="Times New Roman" w:hAnsi="Times New Roman" w:cs="Times New Roman"/>
          <w:bCs/>
          <w:sz w:val="24"/>
          <w:szCs w:val="24"/>
        </w:rPr>
        <w:t>.</w:t>
      </w:r>
      <w:r>
        <w:rPr>
          <w:rFonts w:ascii="Times New Roman" w:hAnsi="Times New Roman" w:cs="Times New Roman"/>
          <w:sz w:val="24"/>
          <w:szCs w:val="24"/>
          <w:shd w:val="clear" w:color="auto" w:fill="FFFFFF"/>
        </w:rPr>
        <w:t xml:space="preserve"> Despite all the above measures, it was not indicated anywhere that pain assessment was part of the management. </w:t>
      </w:r>
    </w:p>
    <w:p>
      <w:pPr>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{"citationItems":[{"id":"ITEM-1","itemData":{"DOI":"10.1155/2020/4893707","ISSN":"12036765","PMID":"32831982","abstract":"Background. Pain management is a very important aspect of nursing care among postoperative patients. Deficit in the knowledge and bad attitude towards pain management among nurses remain a problem in Ghana. In order to manage pain better in the surgical wards, nurses should be well equipped with knowledge of pain assessment and management. Purpose. The purpose of the study was to determine nurse's knowledge and attitude towards pain management among postoperative patients in surgical units in Ghana. Methodology. This study used the quantitative study approach with a descriptive cross-sectional study design. A sample of 211 nurses was recruited using the convenience sampling method. Data were collected using a questionnaire regarding postoperative pain management. Descriptive statistics, Pearson's correlation coefficient, and the chi-squared test were used to analyze the data using SPSS version 16.0. Results. The mean age of the nurses was 29.77, with the youngest nurse being 23 years and oldest being 39 years. Majority (72.5%) of nurses had moderate knowledge, and 89.6% of the nurses had negative attitude towards pain management. There was no significant relationship between nurse's knowledge and years of experience as a nurse (r = -0.03, p=0.64), as well as no significant relationship between knowledge and number of years working in the surgical ward (r = 0.06, p=0.36). Also, there was no significant relationship between nurses' knowledge and nurses' attitude (r = 0.06, p=0.36). Conclusion and recommendation. The level of knowledge and attitude towards postoperative management were generally inadequate among nurses. Therefore, there is the need to implement in-service training on pain management for nurses working in the surgical units frequently.","author":[{"dropping-particle":"","family":"Adams","given":"Shamsu Deen Mahama","non-dropping-particle":"","parse-names":false,"suffix":""},{"dropping-particle":"","family":"Varaei","given":"Shokoh","non-dropping-particle":"","parse-names":false,"suffix":""},{"dropping-particle":"","family":"Jalalinia","given":"Fatemeh","non-dropping-particle":"","parse-names":false,"suffix":""}],"container-title":"Pain Research and Management","id":"ITEM-1","issued":{"date-parts":[["2020"]]},"title":"Nurses' Knowledge and Attitude towards Postoperative Pain Management in Ghana","type":"article-journal","volume":"2020"},"uris":["http://www.mendeley.com/documents/?uuid=c6b5b873-d7ff-4f6a-a24f-469c5e7cb282"]}],"mendeley":{"formattedCitation":"(Adams et al., 2020)","manualFormatting":"Adams, Varaei, and Jalalinia (2020)","plainTextFormattedCitation":"(Adams et al., 2020)","previouslyFormattedCitation":"(Adams et al., 2020)"},"properties":{"noteIndex":0},"schema":"https://github.com/citation-style-language/schema/raw/master/csl-citation.json"}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Adams, Varaei, and Jalalinia (2020)</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w:t>
      </w:r>
      <w:r>
        <w:rPr>
          <w:rFonts w:ascii="Times New Roman" w:hAnsi="Times New Roman" w:cs="Times New Roman"/>
          <w:sz w:val="24"/>
          <w:szCs w:val="24"/>
        </w:rPr>
        <w:t xml:space="preserve"> conducted a descriptive cross-sectional quantitative study in Ghana's surgical facilities to ascertain the knowledge and attitudes of nurses concerning pain management among post-operative patients.</w:t>
      </w:r>
      <w:r>
        <w:rPr>
          <w:rFonts w:ascii="Times New Roman" w:hAnsi="Times New Roman" w:cs="Times New Roman"/>
          <w:sz w:val="24"/>
          <w:szCs w:val="24"/>
          <w:shd w:val="clear" w:color="auto" w:fill="FFFFFF"/>
        </w:rPr>
        <w:t xml:space="preserve"> Among </w:t>
      </w:r>
      <w:r>
        <w:rPr>
          <w:rFonts w:ascii="Times New Roman" w:hAnsi="Times New Roman" w:eastAsia="Times New Roman" w:cs="Times New Roman"/>
          <w:bCs/>
          <w:kern w:val="36"/>
          <w:sz w:val="24"/>
          <w:szCs w:val="24"/>
        </w:rPr>
        <w:t>211nurses, the majority (</w:t>
      </w:r>
      <w:r>
        <w:rPr>
          <w:rFonts w:ascii="Times New Roman" w:hAnsi="Times New Roman" w:cs="Times New Roman"/>
          <w:sz w:val="24"/>
          <w:szCs w:val="24"/>
        </w:rPr>
        <w:t xml:space="preserve">79.1%) of the nurses had moderate knowledge </w:t>
      </w:r>
      <w:r>
        <w:rPr>
          <w:rFonts w:ascii="Times New Roman" w:hAnsi="Times New Roman" w:cs="Times New Roman"/>
          <w:sz w:val="24"/>
          <w:szCs w:val="24"/>
          <w:shd w:val="clear" w:color="auto" w:fill="FFFFFF"/>
        </w:rPr>
        <w:t>and only20.9% had adequate knowledge</w:t>
      </w:r>
      <w:r>
        <w:rPr>
          <w:rFonts w:ascii="Times New Roman" w:hAnsi="Times New Roman" w:cs="Times New Roman"/>
          <w:sz w:val="24"/>
          <w:szCs w:val="24"/>
        </w:rPr>
        <w:t xml:space="preserve">. More than sixty three percent (63.5%) disagreed with the assertion </w:t>
      </w:r>
      <w:r>
        <w:rPr>
          <w:rFonts w:ascii="Times New Roman" w:hAnsi="Times New Roman" w:cs="Times New Roman"/>
          <w:sz w:val="24"/>
          <w:szCs w:val="24"/>
          <w:shd w:val="clear" w:color="auto" w:fill="FFFFFF"/>
        </w:rPr>
        <w:t>“Vital signs are always reliable indicators of the intensity of a patient’s pain “since the majority of respondents (61.6%) had never received training on pain management The aforementioned studies showed that nurses lack knowledge of the proper methods for assessing pain.</w:t>
      </w:r>
    </w:p>
    <w:p>
      <w:pPr>
        <w:spacing w:before="100" w:beforeAutospacing="1" w:after="100" w:afterAutospacing="1"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fldChar w:fldCharType="begin" w:fldLock="1"/>
      </w:r>
      <w:r>
        <w:rPr>
          <w:rFonts w:ascii="Times New Roman" w:hAnsi="Times New Roman" w:cs="Times New Roman"/>
          <w:color w:val="000000" w:themeColor="text1"/>
          <w:sz w:val="24"/>
          <w:szCs w:val="24"/>
          <w14:textFill>
            <w14:solidFill>
              <w14:schemeClr w14:val="tx1"/>
            </w14:solidFill>
          </w14:textFill>
        </w:rPr>
        <w:instrText xml:space="preserve">ADDIN CSL_CITATION {"citationItems":[{"id":"ITEM-1","itemData":{"DOI":"10.1177/2377960818790383","ISSN":"23779608","abstract":"Introduction: There is documented evidence pointing to the fact that there are numerous challenges with postoperative pain (POP) management globally. However, these challenges with POP management are more profound in developing countries. Purpose: The purpose of this study is to examine the knowledge, attitude, and practices of nurses concerning POP management in four selected district hospitals in Ghana. Methodology: A descriptive, cross-sectional survey was employed to evaluate nurse's knowledge, attitude, and practices pertaining to POP management. Multistaged sampling was used to draw the respondents. An adapted version of the Nurses Knowledge and Attitudes Survey Regarding Pain instrument was used to test the knowledge, attitude, and practices of nurses and midwives. Descriptive statistics were used to analyze the data in order to present quantitative descriptions of variables in this study. Results: This study showed that nurses in the four district hospitals had knowledge deficits regarding POP management. Eighty-one representing 48% of nurses had low knowledge on POP management. An overwhelming majority of nurses (97.6%) relied on routinely rendered basic nursing skills to relieve POP and a few used pharmacological interventions. However, nurses had good attitudes toward POP management. Conclusions: POP is ineffectively managed by nurses in district hospitals in Ghana. Nurses and midwives in Ghana need to adhere to best practices in POP management by increasing their theoretical and practical knowledge, so that there will be tangible positive change in POP management in Ghana. Recommendations: Nurses must be empowered through continuous development programs to keep abreast with changing trends that pertain to POP management.","author":[{"dropping-particle":"","family":"Menlah","given":"Awube","non-dropping-particle":"","parse-names":false,"suffix":""},{"dropping-particle":"","family":"Garti","given":"Isabella","non-dropping-particle":"","parse-names":false,"suffix":""},{"dropping-particle":"","family":"Amoo","given":"Sarah Ama","non-dropping-particle":"","parse-names":false,"suffix":""},{"dropping-particle":"","family":"Atakro","given":"Confidence Alorse","non-dropping-particle":"","parse-names":false,"suffix":""},{"dropping-particle":"","family":"Amponsah","given":"Caleb","non-dropping-particle":"","parse-names":false,"suffix":""},{"dropping-particle":"","family":"Agyare","given":"Dorcas Frempomaa","non-dropping-particle":"","parse-names":false,"suffix":""}],"container-title":"SAGE Open Nursing","id":"ITEM-1","issued":{"date-parts":[["2018"]]},"page":"1-11","title":"Knowledge, Attitudes, and Practices of Postoperative Pain Management by Nurses in Selected District Hospitals in Ghana","type":"article-journal","volume":"4"},"uris":["http://www.mendeley.com/documents/?uuid=07b40d8d-551e-4a98-9e1d-ebebaef22123"]}],"mendeley":{"formattedCitation":"(Menlah et al., 2018)","manualFormatting":"Menlah et al. (2018)","plainTextFormattedCitation":"(Menlah et al., 2018)","previouslyFormattedCitation":"(Menlah et al., 2018)"},"properties":{"noteIndex":0},"schema":"https://github.com/citation-style-language/schema/raw/master/csl-citation.json"}</w:instrText>
      </w:r>
      <w:r>
        <w:rPr>
          <w:rFonts w:ascii="Times New Roman" w:hAnsi="Times New Roman" w:cs="Times New Roman"/>
          <w:color w:val="000000" w:themeColor="text1"/>
          <w:sz w:val="24"/>
          <w:szCs w:val="24"/>
          <w14:textFill>
            <w14:solidFill>
              <w14:schemeClr w14:val="tx1"/>
            </w14:solidFill>
          </w14:textFill>
        </w:rPr>
        <w:fldChar w:fldCharType="separate"/>
      </w:r>
      <w:r>
        <w:rPr>
          <w:rFonts w:ascii="Times New Roman" w:hAnsi="Times New Roman" w:cs="Times New Roman"/>
          <w:color w:val="000000" w:themeColor="text1"/>
          <w:sz w:val="24"/>
          <w:szCs w:val="24"/>
          <w14:textFill>
            <w14:solidFill>
              <w14:schemeClr w14:val="tx1"/>
            </w14:solidFill>
          </w14:textFill>
        </w:rPr>
        <w:t>Menlah et al. (2018)</w:t>
      </w:r>
      <w:r>
        <w:rPr>
          <w:rFonts w:ascii="Times New Roman" w:hAnsi="Times New Roman" w:cs="Times New Roman"/>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cs="Times New Roman"/>
          <w:bCs/>
          <w:color w:val="000000" w:themeColor="text1"/>
          <w:sz w:val="24"/>
          <w:szCs w:val="24"/>
          <w14:textFill>
            <w14:solidFill>
              <w14:schemeClr w14:val="tx1"/>
            </w14:solidFill>
          </w14:textFill>
        </w:rPr>
        <w:t>in a study to look at the knowledge, attitude and practices of 194 nurses in Ghana's four district hospitals about post-operative pain management identified a knowledge gap since just 52% of the participant nurses were knowledgeable. More than fifty eight percent (58.3%) of the participants agreed with the claim that "the patient's primary nurse is the most accurate assessor of the level of the patient's pain," hence it failed.</w:t>
      </w:r>
      <w:r>
        <w:rPr>
          <w:rFonts w:ascii="Times New Roman" w:hAnsi="Times New Roman" w:cs="Times New Roman"/>
          <w:color w:val="000000" w:themeColor="text1"/>
          <w:sz w:val="24"/>
          <w:szCs w:val="24"/>
          <w14:textFill>
            <w14:solidFill>
              <w14:schemeClr w14:val="tx1"/>
            </w14:solidFill>
          </w14:textFill>
        </w:rPr>
        <w:t xml:space="preserve"> However, the nurses in this study acknowledged that they lacked the necessary knowledge and evaluation abilities to effectively manage post-operative pain. The nurse's expertise may therefore be positively impacted by including the pain evaluation scale into post-operative pain treatment.</w:t>
      </w:r>
    </w:p>
    <w:p>
      <w:pPr>
        <w:spacing w:before="100" w:beforeAutospacing="1" w:after="100" w:afterAutospacing="1" w:line="480" w:lineRule="auto"/>
        <w:ind w:firstLine="720"/>
        <w:jc w:val="both"/>
        <w:rPr>
          <w:rFonts w:ascii="Times New Roman" w:hAnsi="Times New Roman" w:cs="Times New Roman" w:eastAsiaTheme="minorEastAsia"/>
          <w:sz w:val="24"/>
          <w:szCs w:val="24"/>
        </w:rPr>
      </w:pPr>
      <w:r>
        <w:rPr>
          <w:rFonts w:ascii="Times New Roman" w:hAnsi="Times New Roman" w:cs="Times New Roman" w:eastAsiaTheme="minorEastAsia"/>
          <w:sz w:val="24"/>
          <w:szCs w:val="24"/>
        </w:rPr>
        <w:t>In Almadinah Almunawwarah, Saudi Arabia, a study was carried out in accordance with Al-Quliti and Alamri (2015) to give information on knowledge and attitudes about pain assessment among health care practitioners.</w:t>
      </w:r>
      <w:r>
        <w:rPr>
          <w:rFonts w:ascii="Times New Roman" w:hAnsi="Times New Roman" w:cs="Times New Roman"/>
          <w:sz w:val="24"/>
          <w:szCs w:val="24"/>
          <w:shd w:val="clear" w:color="auto" w:fill="FFFFFF"/>
        </w:rPr>
        <w:t xml:space="preserve"> According to the findings, out of the 105 individuals</w:t>
      </w:r>
      <w:r>
        <w:rPr>
          <w:rFonts w:ascii="Times New Roman" w:hAnsi="Times New Roman" w:cs="Times New Roman" w:eastAsiaTheme="minorEastAsia"/>
          <w:sz w:val="24"/>
          <w:szCs w:val="24"/>
        </w:rPr>
        <w:t xml:space="preserve">, 73 scored 44% or below on knowledge of pain (69.5%), and 32 participants scored 45% and above (30.5%). Moreover, </w:t>
      </w:r>
      <w:r>
        <w:rPr>
          <w:rFonts w:ascii="Times New Roman" w:hAnsi="Times New Roman" w:cs="Times New Roman"/>
          <w:sz w:val="24"/>
          <w:szCs w:val="24"/>
          <w:shd w:val="clear" w:color="auto" w:fill="FFFFFF"/>
        </w:rPr>
        <w:t>the nurses’ scores on pain knowledge: 67 nurses (77.9%) scored 44% and below, and 19 nurses (22.1%) scored 45%, and only</w:t>
      </w:r>
      <w:r>
        <w:rPr>
          <w:rFonts w:ascii="Times New Roman" w:hAnsi="Times New Roman" w:cs="Times New Roman" w:eastAsiaTheme="minorEastAsia"/>
          <w:sz w:val="24"/>
          <w:szCs w:val="24"/>
        </w:rPr>
        <w:t xml:space="preserve"> 6participants (5.7%) scored above 60%, which is an accepted passing rate. Findings point to a considerable knowledge gap in pain assessment, necessitating extensive pain assessment education to improve nurses' understanding of pain assessment and treatment.</w:t>
      </w:r>
    </w:p>
    <w:p>
      <w:pPr>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sz w:val="24"/>
          <w:szCs w:val="24"/>
        </w:rPr>
        <w:t>Remarkably, t</w:t>
      </w:r>
      <w:r>
        <w:rPr>
          <w:rFonts w:ascii="Times New Roman" w:hAnsi="Times New Roman" w:cs="Times New Roman"/>
          <w:bCs/>
          <w:sz w:val="24"/>
          <w:szCs w:val="24"/>
        </w:rPr>
        <w:t>here are reports of problems to post-operative pain care by nurses globally, including inadequate recordkeeping, inadequate patient assessment, and improper administration of analgesics.</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{"citationItems":[{"id":"ITEM-1","itemData":{"DOI":"10.4314/thrb.v16i1.7","ISSN":"18216404","PMID":"26867272","abstract":"Inadequately controlled postoperative pain (POP) subjects individuals to complications which may be fatal or leading to prolonged hospital stay. Complications from inadequately controlled POP may alleviate the existing shortage of hospital human resource for health in health facilities in developing countries. The burden and challenges of POP management at health facilities in Tanzania is not known. This study was therefore carried out to evaluate postoperative pain management and patient satisfaction with care given at Kilimanjaro Christian Medical Centre (KCMC). This descriptive prospective hospital based study, was conducted at the Kilimanjaro Christian Medical Centre in Moshi, Tanzania from August 2011 to March 2012. POP and patients' satisfaction with pain relief scores were assessed using pain and satisfaction numerical rating scales. Pain assessment was done at 24 hours and 48 hours after operation. Satisfaction was assessed on 48 hours post surgery. All adult patient aged 18 years and above whom were operated in general surgery ward, KCMC and accepted by signing consent were involved in the study. Patients suffering from nervous system were excluded from the study. A total number of 124 patients were recruited and participated in the study. Sixty-five (52.4%) were males and 59 (47.6%) females. Mean age (SD) years 40.9 ± 15.4. The largest percentage of individuals had mild pain both at rest (45.2%) and during movement (44.4%). Patients whose analgesia was administered intravenously were more likely to be satisfied with POP management than those given intramuscular analgesics (P= 0.028). Analgesia used in combination increased significantly the proportion of pain free individuals 48 hours postoperative compared to 24 hours postoperative (P= 0.003). In conclusion, the postoperative pain management is still a challenge in our centre as nearly half of the patient had mild pain in the first 48 hours post surgery.","author":[{"dropping-particle":"","family":"Masigati","given":"Herbert G.","non-dropping-particle":"","parse-names":false,"suffix":""},{"dropping-particle":"","family":"Chilonga","given":"Kondo S.","non-dropping-particle":"","parse-names":false,"suffix":""}],"container-title":"Tanzania Journal of Health Research","id":"ITEM-1","issue":"1","issued":{"date-parts":[["2014"]]},"title":"Postoperative pain management outcomes among adults treated at a tertiary hospital in Moshi, Tanzania","type":"article-journal","volume":"16"},"uris":["http://www.mendeley.com/documents/?uuid=b7f7f79a-e874-4a8b-bae8-88a639bd37eb"]}],"mendeley":{"formattedCitation":"(Masigati &amp; Chilonga, 2014)","plainTextFormattedCitation":"(Masigati &amp; Chilonga, 2014)","previouslyFormattedCitation":"(Masigati &amp; Chilonga, 2014)"},"properties":{"noteIndex":0},"schema":"https://github.com/citation-style-language/schema/raw/master/csl-citation.json"}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(Masigati &amp; Chilonga, 2014)</w:t>
      </w:r>
      <w:r>
        <w:rPr>
          <w:rFonts w:ascii="Times New Roman" w:hAnsi="Times New Roman" w:cs="Times New Roman"/>
          <w:bCs/>
          <w:sz w:val="24"/>
          <w:szCs w:val="24"/>
        </w:rPr>
        <w:fldChar w:fldCharType="end"/>
      </w:r>
      <w:r>
        <w:rPr>
          <w:rFonts w:ascii="Times New Roman" w:hAnsi="Times New Roman" w:cs="Times New Roman"/>
          <w:bCs/>
          <w:sz w:val="24"/>
          <w:szCs w:val="24"/>
        </w:rPr>
        <w:t>.</w:t>
      </w:r>
      <w:r>
        <w:rPr>
          <w:rFonts w:ascii="Times New Roman" w:hAnsi="Times New Roman" w:cs="Times New Roman"/>
          <w:sz w:val="24"/>
          <w:szCs w:val="24"/>
        </w:rPr>
        <w:t xml:space="preserve"> Ineffective post-operative pain management has been linked by other researchers to higher nursing workloads, communication problems, a lack of understanding on how to manage post-operative pain, and organizational change issues</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{"citationItems":[{"id":"ITEM-1","itemData":{"DOI":"10.1185/03007995.2015.1092122","ISSN":"14734877","PMID":"26359332","abstract":"Poor management of post-operative acute pain can contribute to medical complications including pneumonia, deep vein thrombosis, infection and delayed healing, as well as the development of chronic pain. It is therefore important that all patients undergoing surgery should receive adequate pain management. However, evidence suggests this is not currently the case; between 10% and 50% of patients develop chronic pain after various common operations, and one recent US study recorded &gt;80% of patients experiencing post-operative pain.At the first meeting of the acute chapter of the Change Pain Advisory Board, key priorities for improving post-operative pain management were identified in four different areas. Firstly, patients should be more involved in decisions regarding their own treatment, particularly when fateful alternatives are being considered. For this to be meaningful, relevant information should be provided so they are well informed about the various options available. Good physician/patient communication is also essential. Secondly, better professional education and training of the various members of the multidisciplinary pain management team would enhance their skills and knowledge, and thereby improve patient care. Thirdly, there is scope for optimizing treatment. Examples include the use of synergistic analgesia to target pain at different points along pain pathways, more widespread adoption of patient-controlled analgesia, and the use of minimally invasive rather than open surgery. Fourthly, organizational change could provide similar benefits; introducing acute pain services and increasing their availability towards the 24 hours/day ideal, greater adherence to protocols, increased use of patient-reported outcomes, and greater receptivity to technological advances would all help to enhance performance and increase patient satisfaction. It must be acknowledged that implementing these recommendations would incur a considerable cost that purchasers of healthcare may be unwilling or unable to finance. Nevertheless, change is under way and the political will exists for it to continue.","author":[{"dropping-particle":"","family":"Meissner","given":"Winfried","non-dropping-particle":"","parse-names":false,"suffix":""},</w:instrText>
      </w:r>
      <w:r>
        <w:rPr>
          <w:rFonts w:ascii="Times New Roman" w:hAnsi="Times New Roman" w:cs="Times New Roman"/>
          <w:bCs/>
          <w:sz w:val="24"/>
          <w:szCs w:val="24"/>
          <w:lang w:val="fr-FR"/>
        </w:rPr>
        <w:instrText xml:space="preserve">{"dropping-particle":"","family":"Coluzzi","given":"Flaminia","non-dropping-particle":"","parse-names":false,"suffix":""},{"dropping-particle":"","family":"Fletcher","given":"Dominique","non-dropping-particle":"","parse-names":false,"suffix":""},{"dropping-particle":"","family":"Huygen","given":"Frank","non-dropping-particle":"","parse-names":false,"suffix":""},{"dropping-particle":"","family":"Morlion","given":"Bart","non-dropping-particle":"","parse-names":false,"suffix":""},{"dropping-particle":"","family":"Neugebauer","given":"Edmund","non-dropping-particle":"","parse-names":false,"suffix":""},{"dropping-particle":"","family":"Pérez","given":"Antonio Montes","non-dropping-particle":"","parse-names":false,"suffix":""},{"dropping-particle":"","family":"Pergolizzi","given":"Joseph","non-dropping-particle":"","parse-names":false,"suffix":""}],"container-title":"Current Medical Research and Opinion","id":"ITEM-1","issue":"11","issued":{"date-parts":[["2015"]]},"page":"2131-2143","title":"Improving the management of post-operative acute pain: Priorities for change","type":"article-journal","volume":"31"},"uris":["http://www.mendeley.com/documents/?uuid=28cd6f52-80ad-4195-8eec-92e03fd3e012"]}],"mendeley":{"formattedCitation":"(Meissner et al., 2015)","plainTextFormattedCitation":"(Meissner et al., 2015)","previouslyFormattedCitation":"(Meissner et al., 2015)"},"properties":{"noteIndex":0},"schema":"https://github.com/citation-style-language/schema/raw/master/csl-citation.json"}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lang w:val="fr-FR"/>
        </w:rPr>
        <w:t>(Meissner et al., 2015</w:t>
      </w:r>
      <w:r>
        <w:rPr>
          <w:rFonts w:ascii="Times New Roman" w:hAnsi="Times New Roman" w:cs="Times New Roman"/>
          <w:bCs/>
          <w:sz w:val="24"/>
          <w:szCs w:val="24"/>
        </w:rPr>
        <w:fldChar w:fldCharType="end"/>
      </w:r>
      <w:r>
        <w:rPr>
          <w:rFonts w:ascii="Times New Roman" w:hAnsi="Times New Roman" w:cs="Times New Roman"/>
          <w:bCs/>
          <w:sz w:val="24"/>
          <w:szCs w:val="24"/>
          <w:lang w:val="fr-FR"/>
        </w:rPr>
        <w:t>;</w:t>
      </w:r>
      <w:r>
        <w:rPr>
          <w:rFonts w:ascii="Times New Roman" w:hAnsi="Times New Roman" w:cs="Times New Roman"/>
          <w:bCs/>
          <w:color w:val="C00000"/>
          <w:sz w:val="24"/>
          <w:szCs w:val="24"/>
          <w:lang w:val="fr-FR"/>
        </w:rPr>
        <w:t xml:space="preserve"> </w:t>
      </w:r>
      <w:r>
        <w:rPr>
          <w:rFonts w:ascii="Times New Roman" w:hAnsi="Times New Roman" w:cs="Times New Roman"/>
          <w:bCs/>
          <w:sz w:val="24"/>
          <w:szCs w:val="24"/>
        </w:rPr>
        <w:fldChar w:fldCharType="begin" w:fldLock="1"/>
      </w:r>
      <w:r>
        <w:rPr>
          <w:rFonts w:ascii="Times New Roman" w:hAnsi="Times New Roman" w:cs="Times New Roman"/>
          <w:bCs/>
          <w:sz w:val="24"/>
          <w:szCs w:val="24"/>
          <w:lang w:val="fr-FR"/>
        </w:rPr>
        <w:instrText xml:space="preserve">ADDIN CSL_CITATION {"citationItems":[{"id":"ITEM-1","itemData":{"ISBN":"9783319063041","abstract":"Adequate pain management is a compelling and universal requirement in health care. Despite considerable advancements, the adverse physiological and psychological implications of unmanaged pain remain substantially unresolved. Ineffective pain management can lead to a marked decrease in desirable clinical and psychological outcomes and patients’ overall quality of life. Effective management of acute pain results in improved patient outcomes and increased patient satisfaction. Although research and advanced treat- ments in improved practice protocols have documented progressive improvements in management of acute and postoperative pain, little awareness of the effectiveness of best practices persists. Improved interventions can enhance patients’ attitudes to and perceptions of pain. What a patient believes and understands about pain is critical in influencing the patient’s reaction to the pain therapy provided. Use of interdisciplinary pain teams can lead to improvements in patients’ pain management, pain education, outcomes, and satisfaction. (Critical Care Nurse. 2015;35[3]:33-43) E","author":[{"dropping-particle":"","family":"Diane Glowacki","given":"RN","non-dropping-particle":"","parse-names":false,"suffix":""}],"container-title":"CriticalCareNurse Vol","id":"ITEM-1","issue":"November","issued":{"date-parts":[["2013"]]},"page":"33-43","title":"Effective Pain Management and Improvements in Patients’ Outcomes and Satisfaction","type":"article-journal","volume":"35"},"uris":["http://www.mendeley.com/documents/?uuid=c8e2c165-3e44-4b9d-82c6-36a9135f948d"]}],"mendeley":{"formattedCitation":"(Diane Glowacki, 2013)","plainTextFormattedCitation":"(Diane Glowacki, 2013)","previouslyFormattedCitation":"(Diane Glowacki, 2013)"},"properties":{"noteIndex":0},"schema":"https://github.com/citation-style-language/schema/raw/master/csl-citation.json"}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lang w:val="fr-FR"/>
        </w:rPr>
        <w:t>Diane Glowacki, 2013)</w:t>
      </w:r>
      <w:r>
        <w:rPr>
          <w:rFonts w:ascii="Times New Roman" w:hAnsi="Times New Roman" w:cs="Times New Roman"/>
          <w:bCs/>
          <w:sz w:val="24"/>
          <w:szCs w:val="24"/>
        </w:rPr>
        <w:fldChar w:fldCharType="end"/>
      </w:r>
      <w:r>
        <w:rPr>
          <w:rFonts w:ascii="Times New Roman" w:hAnsi="Times New Roman" w:cs="Times New Roman"/>
          <w:bCs/>
          <w:sz w:val="24"/>
          <w:szCs w:val="24"/>
          <w:lang w:val="fr-FR"/>
        </w:rPr>
        <w:t xml:space="preserve">.  </w:t>
      </w:r>
      <w:r>
        <w:rPr>
          <w:rFonts w:ascii="Times New Roman" w:hAnsi="Times New Roman" w:eastAsia="Times New Roman" w:cs="Times New Roman"/>
          <w:kern w:val="36"/>
          <w:sz w:val="24"/>
          <w:szCs w:val="24"/>
          <w:lang w:val="fr-FR"/>
        </w:rPr>
        <w:t xml:space="preserve">In addition, </w:t>
      </w:r>
      <w:r>
        <w:rPr>
          <w:rFonts w:ascii="Times New Roman" w:hAnsi="Times New Roman" w:eastAsia="Times New Roman" w:cs="Times New Roman"/>
          <w:bCs/>
          <w:kern w:val="36"/>
          <w:sz w:val="24"/>
          <w:szCs w:val="24"/>
        </w:rPr>
        <w:fldChar w:fldCharType="begin" w:fldLock="1"/>
      </w:r>
      <w:r>
        <w:rPr>
          <w:rFonts w:ascii="Times New Roman" w:hAnsi="Times New Roman" w:eastAsia="Times New Roman" w:cs="Times New Roman"/>
          <w:bCs/>
          <w:kern w:val="36"/>
          <w:sz w:val="24"/>
          <w:szCs w:val="24"/>
          <w:lang w:val="fr-FR"/>
        </w:rPr>
        <w:instrText xml:space="preserve">ADDIN CSL_CITATION {"citationItems":[{"id":"ITEM-1","itemData":{"DOI":"10.1016/j.pmn.2016.03.001","ISSN":"1524-9042","author":[{"dropping-particle":"","family":"Pasero","given":"Chris","non-dropping-particle":"","parse-names":false,"suffix":""},{"dropping-particle":"","family":"Quinlan-colwell","given":"Ann","non-dropping-particle":"","parse-names":false,"suffix":""},{"dropping-particle":"","family":"Rae","given":"Diana","non-dropping-particle":"","parse-names":false,"suffix":""},{"dropping-particle":"","family":"Broglio","given":"Kathleen","non-dropping-particle":"","parse-names":false,"suffix":""},{"dropping-particle":"","family":"Drew","given":"Debra","non-dropping-particle":"","parse-names":false,"suffix":""}],"container-title":"Pain Management Nursing","id":"ITEM-1","issue":"3","issued":{"date-parts":[["2016"]]},"page":"170-180","publisher":"American Society for Pain Management Nursing","title":"Position Statement American Society for Pain Management Nursing Position Statement : Prescribing and Administering Opioid Doses Based Solely on Pain Intensity","type":"article-journal","volume":"17"},"uris":["http://www.mendeley.com/documents/?uuid=f52e6e67-e73f-44c6-b06d-bfb1d7baaf82"]}],"mendeley":{"formattedCitation":"(Pasero et al., 2016)","manualFormatting":"Pasero et al. (2016)","plainTextFormattedCitation":"(Pasero et al., 2016)","previouslyFormattedCitation":"(Pasero et al., 2016)"},"properties":{"noteIndex":0},"schema":"https://github.com/citation-style-language/schema/raw/master/csl-citation.json"}</w:instrText>
      </w:r>
      <w:r>
        <w:rPr>
          <w:rFonts w:ascii="Times New Roman" w:hAnsi="Times New Roman" w:eastAsia="Times New Roman" w:cs="Times New Roman"/>
          <w:bCs/>
          <w:kern w:val="36"/>
          <w:sz w:val="24"/>
          <w:szCs w:val="24"/>
        </w:rPr>
        <w:fldChar w:fldCharType="separate"/>
      </w:r>
      <w:r>
        <w:rPr>
          <w:rFonts w:ascii="Times New Roman" w:hAnsi="Times New Roman" w:eastAsia="Times New Roman" w:cs="Times New Roman"/>
          <w:bCs/>
          <w:kern w:val="36"/>
          <w:sz w:val="24"/>
          <w:szCs w:val="24"/>
          <w:lang w:val="fr-FR"/>
        </w:rPr>
        <w:t>Pasero et al. 2016</w:t>
      </w:r>
      <w:r>
        <w:rPr>
          <w:rFonts w:ascii="Times New Roman" w:hAnsi="Times New Roman" w:eastAsia="Times New Roman" w:cs="Times New Roman"/>
          <w:bCs/>
          <w:kern w:val="36"/>
          <w:sz w:val="24"/>
          <w:szCs w:val="24"/>
        </w:rPr>
        <w:fldChar w:fldCharType="end"/>
      </w:r>
      <w:r>
        <w:rPr>
          <w:rFonts w:ascii="Times New Roman" w:hAnsi="Times New Roman" w:eastAsia="Times New Roman" w:cs="Times New Roman"/>
          <w:bCs/>
          <w:kern w:val="36"/>
          <w:sz w:val="24"/>
          <w:szCs w:val="24"/>
          <w:lang w:val="fr-FR"/>
        </w:rPr>
        <w:t xml:space="preserve">; </w:t>
      </w:r>
      <w:r>
        <w:rPr>
          <w:rFonts w:ascii="Times New Roman" w:hAnsi="Times New Roman" w:eastAsia="Times New Roman" w:cs="Times New Roman"/>
          <w:bCs/>
          <w:kern w:val="36"/>
          <w:sz w:val="24"/>
          <w:szCs w:val="24"/>
        </w:rPr>
        <w:fldChar w:fldCharType="begin" w:fldLock="1"/>
      </w:r>
      <w:r>
        <w:rPr>
          <w:rFonts w:ascii="Times New Roman" w:hAnsi="Times New Roman" w:eastAsia="Times New Roman" w:cs="Times New Roman"/>
          <w:bCs/>
          <w:kern w:val="36"/>
          <w:sz w:val="24"/>
          <w:szCs w:val="24"/>
          <w:lang w:val="fr-FR"/>
        </w:rPr>
        <w:instrText xml:space="preserve">ADDIN CSL_CITATION {"citationItems":[{"id":"ITEM-1","itemData":{"DOI":"10.1155/2019/9091467","ISSN":"2090-1429","abstract":" Background. Postoperative pain remains one of the greatest concerns for patients following surgical procedures. Nurses play an essential role in postoperative pain assessment and management, especially within the first few days after surgery. Objective. The study investigated how nurses in a resource-constraint hospital in Ghana assessed and managed postoperative pain. Methods. This was an explorative qualitative study involving 12 registered nurses practising in the largest referral hospital in Ghana. Data was gathered using a semistructured interview guide. Demographic characteristics of participants were summarized using descriptive statistics. Data were analysed using Kvale’s three phases for analysing qualitative data. First, the entire text was read again to identify meaning units which were then condensed. Second, the condensed texts were read again and interpreted. Finally, the condensed data containing similar meaning were coded and then sorted into subthemes. Results. It was found that some nurses have never used any pain assessment tool due to lack of standard tool for assessing postoperative pain. The majority o</w:instrText>
      </w:r>
      <w:r>
        <w:rPr>
          <w:rFonts w:ascii="Times New Roman" w:hAnsi="Times New Roman" w:eastAsia="Times New Roman" w:cs="Times New Roman"/>
          <w:bCs/>
          <w:kern w:val="36"/>
          <w:sz w:val="24"/>
          <w:szCs w:val="24"/>
        </w:rPr>
        <w:instrText xml:space="preserve">f nurses reported that managing pain by using medication was the norm especially in the first 24 hours after surgery. Conclusion. Although participants may have some knowledge of assessing and managing postoperative pain, this knowledge was not largely used to manage postoperative pain effectively, partly because of resource constraints. Therefore, there is the need for adequate training and with provision of resources, it is imperative that the use of standardized pain assessment scales could help in the proper assessment and management of postoperative pain in this setting. ","author":[{"dropping-particle":"","family":"Mahama","given":"Faisal","non-dropping-particle":"","parse-names":false,"suffix":""},{"dropping-particle":"","family":"Ninnoni","given":"Jerry P. K.","non-dropping-particle":"","parse-names":false,"suffix":""}],"container-title":"Nursing Research and Practice","id":"ITEM-1","issued":{"date-parts":[["2019"]]},"page":"1-7","title":"Assessment and Management of Postoperative Pain among Nurses at a Resource-Constraint Teaching Hospital in Ghana","type":"article-journal","volume":"2019"},"uris":["http://www.mendeley.com/documents/?uuid=913ba63c-f6cb-436f-815a-cfce17096014"]}],"mendeley":{"formattedCitation":"(Mahama &amp; Ninnoni, 2019)","plainTextFormattedCitation":"(Mahama &amp; Ninnoni, 2019)","previouslyFormattedCitation":"(Mahama &amp; Ninnoni, 2019)"},"properties":{"noteIndex":0},"schema":"https://github.com/citation-style-language/schema/raw/master/csl-citation.json"}</w:instrText>
      </w:r>
      <w:r>
        <w:rPr>
          <w:rFonts w:ascii="Times New Roman" w:hAnsi="Times New Roman" w:eastAsia="Times New Roman" w:cs="Times New Roman"/>
          <w:bCs/>
          <w:kern w:val="36"/>
          <w:sz w:val="24"/>
          <w:szCs w:val="24"/>
        </w:rPr>
        <w:fldChar w:fldCharType="separate"/>
      </w:r>
      <w:r>
        <w:rPr>
          <w:rFonts w:ascii="Times New Roman" w:hAnsi="Times New Roman" w:eastAsia="Times New Roman" w:cs="Times New Roman"/>
          <w:bCs/>
          <w:kern w:val="36"/>
          <w:sz w:val="24"/>
          <w:szCs w:val="24"/>
        </w:rPr>
        <w:t>Mahama &amp; Ninnoni, 2019)</w:t>
      </w:r>
      <w:r>
        <w:rPr>
          <w:rFonts w:ascii="Times New Roman" w:hAnsi="Times New Roman" w:eastAsia="Times New Roman" w:cs="Times New Roman"/>
          <w:bCs/>
          <w:kern w:val="36"/>
          <w:sz w:val="24"/>
          <w:szCs w:val="24"/>
        </w:rPr>
        <w:fldChar w:fldCharType="end"/>
      </w:r>
      <w:r>
        <w:rPr>
          <w:rFonts w:ascii="Times New Roman" w:hAnsi="Times New Roman" w:cs="Times New Roman"/>
          <w:sz w:val="24"/>
          <w:szCs w:val="24"/>
        </w:rPr>
        <w:t>, talked about the steps taken to provide the best pain assessment: verbalization, taking vital signs, and observing body language, emphasizing the patient's facial expression as one of the earliest signals of growing pain.</w:t>
      </w:r>
    </w:p>
    <w:p>
      <w:pPr>
        <w:shd w:val="clear" w:color="auto" w:fill="FFFFFF"/>
        <w:tabs>
          <w:tab w:val="left" w:pos="1800"/>
        </w:tabs>
        <w:spacing w:before="100" w:beforeAutospacing="1" w:after="100" w:afterAutospacing="1" w:line="480" w:lineRule="auto"/>
        <w:ind w:firstLine="720"/>
        <w:jc w:val="both"/>
        <w:outlineLvl w:val="0"/>
        <w:rPr>
          <w:rFonts w:ascii="Times New Roman" w:hAnsi="Times New Roman" w:cs="Times New Roman"/>
          <w:sz w:val="24"/>
          <w:szCs w:val="24"/>
          <w:shd w:val="clear" w:color="auto" w:fill="FFFFFF"/>
        </w:rPr>
      </w:pPr>
      <w:bookmarkStart w:id="56" w:name="_Toc104298403"/>
      <w:bookmarkStart w:id="57" w:name="_Toc104214631"/>
      <w:bookmarkStart w:id="58" w:name="_Toc120852208"/>
      <w:bookmarkStart w:id="59" w:name="_Toc104214858"/>
      <w:bookmarkStart w:id="60" w:name="_Toc142753393"/>
      <w:bookmarkStart w:id="61" w:name="_Toc134608272"/>
      <w:bookmarkStart w:id="62" w:name="_Toc134604140"/>
      <w:r>
        <w:rPr>
          <w:rFonts w:ascii="Times New Roman" w:hAnsi="Times New Roman" w:cs="Times New Roman"/>
          <w:sz w:val="24"/>
          <w:szCs w:val="24"/>
          <w:shd w:val="clear" w:color="auto" w:fill="FFFFFF"/>
        </w:rPr>
        <w:t>According to a study by Le-Wendling et al. (2018) and Yuceer (2011) pain is measured in a patient while they are at rest, while they are moving, when they are changing positions, and during physical therapy. As a result, after the self-report, the nurse must record the degree, quality, location, time, and duration, aggravating and mitigating factors, and their impact on the management of post-operative pain.</w:t>
      </w:r>
      <w:r>
        <w:rPr>
          <w:rFonts w:ascii="Times New Roman" w:hAnsi="Times New Roman" w:cs="Times New Roman"/>
          <w:sz w:val="24"/>
          <w:szCs w:val="24"/>
        </w:rPr>
        <w:t xml:space="preserve"> Additionally, the effectiveness of a particular treatment should be assessed by measuring pain both before and after each intervention (Yuceer (2011).</w:t>
      </w:r>
      <w:r>
        <w:rPr>
          <w:rFonts w:ascii="Times New Roman" w:hAnsi="Times New Roman" w:cs="Times New Roman"/>
          <w:sz w:val="24"/>
          <w:szCs w:val="24"/>
          <w:shd w:val="clear" w:color="auto" w:fill="FFFFFF"/>
        </w:rPr>
        <w:t xml:space="preserve"> </w:t>
      </w:r>
      <w:bookmarkEnd w:id="56"/>
      <w:bookmarkEnd w:id="57"/>
      <w:bookmarkEnd w:id="58"/>
      <w:bookmarkEnd w:id="59"/>
      <w:r>
        <w:rPr>
          <w:rFonts w:ascii="Times New Roman" w:hAnsi="Times New Roman" w:cs="Times New Roman"/>
          <w:sz w:val="24"/>
          <w:szCs w:val="24"/>
          <w:shd w:val="clear" w:color="auto" w:fill="FFFFFF"/>
        </w:rPr>
        <w:t>In order to decide on the most effective action to relieve post-operative pain, the nurse is therefore required to include pain levels into everyday practice.</w:t>
      </w:r>
      <w:bookmarkEnd w:id="60"/>
      <w:bookmarkEnd w:id="61"/>
      <w:bookmarkEnd w:id="62"/>
    </w:p>
    <w:p>
      <w:pPr>
        <w:autoSpaceDE w:val="0"/>
        <w:autoSpaceDN w:val="0"/>
        <w:adjustRightInd w:val="0"/>
        <w:spacing w:before="100" w:beforeAutospacing="1" w:after="100" w:afterAutospacing="1" w:line="480" w:lineRule="auto"/>
        <w:ind w:firstLine="720"/>
        <w:jc w:val="both"/>
        <w:rPr>
          <w:rFonts w:ascii="Times New Roman" w:hAnsi="Times New Roman" w:cs="Times New Roman" w:eastAsiaTheme="minorEastAsia"/>
          <w:sz w:val="24"/>
          <w:szCs w:val="24"/>
        </w:rPr>
      </w:pPr>
      <w:r>
        <w:rPr>
          <w:rFonts w:ascii="Times New Roman" w:hAnsi="Times New Roman" w:cs="Times New Roman" w:eastAsiaTheme="minorEastAsia"/>
          <w:sz w:val="24"/>
          <w:szCs w:val="24"/>
        </w:rPr>
        <w:t>Priorities for change results from a study by Meissner et al. (2015) on post-operative acute pain management showed that poor post-operative acute pain management may result in serious medical complications like pneumonia and deep vein thrombosis, as well as progression to chronic pain and delayed discharge, especially after ambulatory surgery. In a 2014 study, 75% of participants experienced moderate to severe pain immediately after surgery, and 74% continued to feel this degree of pain after being discharged. Surveys indicate that patients' pain alleviation has slightly improved over the preceding 20 years.</w:t>
      </w:r>
    </w:p>
    <w:p>
      <w:pPr>
        <w:autoSpaceDE w:val="0"/>
        <w:autoSpaceDN w:val="0"/>
        <w:adjustRightInd w:val="0"/>
        <w:spacing w:before="100" w:beforeAutospacing="1" w:after="100" w:afterAutospacing="1" w:line="480" w:lineRule="auto"/>
        <w:ind w:firstLine="720"/>
        <w:jc w:val="both"/>
        <w:rPr>
          <w:rFonts w:ascii="Times New Roman" w:hAnsi="Times New Roman" w:cs="Times New Roman" w:eastAsiaTheme="minorEastAsia"/>
          <w:sz w:val="24"/>
          <w:szCs w:val="24"/>
        </w:rPr>
      </w:pPr>
      <w:r>
        <w:rPr>
          <w:rFonts w:ascii="Times New Roman" w:hAnsi="Times New Roman" w:cs="Times New Roman" w:eastAsiaTheme="minorEastAsia"/>
          <w:sz w:val="24"/>
          <w:szCs w:val="24"/>
        </w:rPr>
        <w:t>After reviewing the state of post-operative pain management, this paper makes a number of suggestions for potential improvements that fall into four broad categories: patient-centered care, which involves greater patient involvement and shared decision-making; better training for doctors and other members of the multidisciplinary pain management team; and treatment optimization through the use of strategies like synergistic analgesia, patient-controlled analgesia, and, where appropriate, opioid substitution therapy. A substantial body of research backs up the execution of many of the measures as well as their potential advantages. A major barrier to their full potential is a lack of adequate financial resources.</w:t>
      </w:r>
    </w:p>
    <w:p>
      <w:pPr>
        <w:autoSpaceDE w:val="0"/>
        <w:autoSpaceDN w:val="0"/>
        <w:adjustRightInd w:val="0"/>
        <w:spacing w:before="100" w:beforeAutospacing="1" w:after="100" w:afterAutospacing="1" w:line="480" w:lineRule="auto"/>
        <w:ind w:firstLine="720"/>
        <w:jc w:val="both"/>
        <w:rPr>
          <w:rFonts w:ascii="Times New Roman" w:hAnsi="Times New Roman" w:cs="Times New Roman" w:eastAsiaTheme="minorEastAsia"/>
          <w:sz w:val="24"/>
          <w:szCs w:val="24"/>
        </w:rPr>
      </w:pPr>
      <w:r>
        <w:rPr>
          <w:rFonts w:ascii="Times New Roman" w:hAnsi="Times New Roman" w:cs="Times New Roman"/>
          <w:sz w:val="24"/>
          <w:szCs w:val="24"/>
        </w:rPr>
        <w:t>Out of 433 participants, it was discovered that 56.5% had sufficient knowledge about post-operative pain management.</w:t>
      </w:r>
      <w:r>
        <w:rPr>
          <w:rFonts w:ascii="Times New Roman" w:hAnsi="Times New Roman" w:cs="Times New Roman" w:eastAsiaTheme="minorEastAsia"/>
          <w:sz w:val="24"/>
          <w:szCs w:val="24"/>
        </w:rPr>
        <w:t xml:space="preserve"> </w:t>
      </w:r>
      <w:r>
        <w:rPr>
          <w:rFonts w:ascii="Times New Roman" w:hAnsi="Times New Roman" w:cs="Times New Roman"/>
          <w:sz w:val="24"/>
          <w:szCs w:val="24"/>
          <w:shd w:val="clear" w:color="auto" w:fill="FFFFFF"/>
        </w:rPr>
        <w:t xml:space="preserve">Most of the participants, 368 (93.16%) scored a mean of 5 and 12, whereas only 8 (2.03%) responses answered every question accurately. The statement "Pain is what the patient says it is" was one of the questions in the current study that received the most correct responses from respondents, with 331 (83.8%), while the statement "Pain assessment includes onset, duration, variability, location, and intensity of pain" received the most correct responses from respondents, 346 (87.6%), accounting for more than eighty seven percent of the total responses (87.6 %). </w:t>
      </w:r>
      <w:r>
        <w:rPr>
          <w:rFonts w:ascii="Times New Roman" w:hAnsi="Times New Roman" w:cs="Times New Roman"/>
          <w:bCs/>
          <w:sz w:val="24"/>
          <w:szCs w:val="24"/>
          <w:shd w:val="clear" w:color="auto" w:fill="FFFFFF"/>
        </w:rPr>
        <w:t>More than half of the nurses in the research area, according to Dessie et al. (2019), had sufficient understanding of post-operative pain treatment. Their understanding of post-operative pain management would therefore be impacted by regular in-service training on the use of the pain assessment scale.</w:t>
      </w:r>
    </w:p>
    <w:p>
      <w:pPr>
        <w:autoSpaceDE w:val="0"/>
        <w:autoSpaceDN w:val="0"/>
        <w:adjustRightInd w:val="0"/>
        <w:spacing w:before="100" w:beforeAutospacing="1" w:after="100" w:afterAutospacing="1" w:line="480" w:lineRule="auto"/>
        <w:ind w:firstLine="720"/>
        <w:jc w:val="both"/>
        <w:rPr>
          <w:rFonts w:ascii="Times New Roman" w:hAnsi="Times New Roman" w:cs="Times New Roman" w:eastAsiaTheme="minorEastAsia"/>
          <w:iCs/>
          <w:sz w:val="24"/>
          <w:szCs w:val="24"/>
        </w:rPr>
      </w:pPr>
      <w:r>
        <w:rPr>
          <w:rFonts w:ascii="Times New Roman" w:hAnsi="Times New Roman" w:cs="Times New Roman" w:eastAsiaTheme="minorEastAsia"/>
          <w:bCs/>
          <w:iCs/>
          <w:sz w:val="24"/>
          <w:szCs w:val="24"/>
        </w:rPr>
        <w:t>Salim, Tuffaha and Brant (2020) in the study, Pain</w:t>
      </w:r>
      <w:r>
        <w:rPr>
          <w:rFonts w:ascii="Times New Roman" w:hAnsi="Times New Roman" w:cs="Times New Roman" w:eastAsiaTheme="minorEastAsia"/>
          <w:iCs/>
          <w:sz w:val="24"/>
          <w:szCs w:val="24"/>
        </w:rPr>
        <w:t xml:space="preserve"> Monitoring Program for Nurses: Effects on Nurses' Pain Knowledge and Attitude, found that nurses have knowledge gaps and preconceived notions about pain and its treatment. The average Pain Knowledge score increased from 69.1 percent at the pretest to 75.8 percent at the post-test following nurses' education. Regarding their level of expertise and proficiency in treating pain, their readiness to regularly measure pain, and their attentiveness to patients' concerns about pain, nurses' views have changed. </w:t>
      </w:r>
      <w:r>
        <w:rPr>
          <w:rFonts w:ascii="Times New Roman" w:hAnsi="Times New Roman" w:cs="Times New Roman" w:eastAsiaTheme="minorEastAsia"/>
          <w:bCs/>
          <w:iCs/>
          <w:sz w:val="24"/>
          <w:szCs w:val="24"/>
        </w:rPr>
        <w:t>The pain monitoring program was shown to be successful in enhancing nurses' understanding of post-operative pain management and directing the nurses' attention to patients' pain complaints.</w:t>
      </w:r>
    </w:p>
    <w:p>
      <w:pPr>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bCs/>
          <w:sz w:val="24"/>
          <w:szCs w:val="24"/>
        </w:rPr>
        <w:t>It was discovered by Mahama and Ninnoni (2019) that verbalization, taking vital signs, and body language, to mention the patient's facial expression are some of the first indicators that a patient will experience in case of having post-operative pain. The study was an exploratory qualitative investigation to learn how nurses in a resource-constrained hospital, Ghana assessed and managed postoperative pain. Measures are taken to guarantee the best possible pain assessment along the same lines.</w:t>
      </w:r>
    </w:p>
    <w:p>
      <w:pPr>
        <w:spacing w:before="100" w:beforeAutospacing="1" w:after="100" w:afterAutospacing="1" w:line="480" w:lineRule="auto"/>
        <w:ind w:firstLine="720"/>
        <w:jc w:val="both"/>
        <w:rPr>
          <w:rFonts w:ascii="Times New Roman" w:hAnsi="Times New Roman" w:cs="Times New Roman" w:eastAsiaTheme="minorEastAsia"/>
          <w:bCs/>
          <w:sz w:val="24"/>
          <w:szCs w:val="24"/>
        </w:rPr>
      </w:pPr>
      <w:r>
        <w:rPr>
          <w:rFonts w:ascii="Times New Roman" w:hAnsi="Times New Roman" w:cs="Times New Roman"/>
          <w:sz w:val="24"/>
          <w:szCs w:val="24"/>
        </w:rPr>
        <w:t xml:space="preserve">On the view that pain is subjective, it’s always better to find a pain measurement scale that will work for you consistently and easily. </w:t>
      </w:r>
      <w:r>
        <w:rPr>
          <w:rFonts w:ascii="Times New Roman" w:hAnsi="Times New Roman" w:cs="Times New Roman"/>
          <w:sz w:val="24"/>
          <w:szCs w:val="24"/>
          <w:shd w:val="clear" w:color="auto" w:fill="FFFFFF"/>
        </w:rPr>
        <w:t>The most popular adult scales are the visual analog and numerical rating scales because of their simplicity and sensitivity to minute changes in pain.</w:t>
      </w:r>
      <w:r>
        <w:rPr>
          <w:rFonts w:ascii="Times New Roman" w:hAnsi="Times New Roman" w:cs="Times New Roman"/>
          <w:sz w:val="24"/>
          <w:szCs w:val="24"/>
        </w:rPr>
        <w:t xml:space="preserve"> </w:t>
      </w:r>
      <w:r>
        <w:rPr>
          <w:rFonts w:ascii="Times New Roman" w:hAnsi="Times New Roman" w:cs="Times New Roman" w:eastAsiaTheme="minorEastAsia"/>
          <w:sz w:val="24"/>
          <w:szCs w:val="24"/>
        </w:rPr>
        <w:t xml:space="preserve">The patients should be tasked to remember the worst pain they have ever experienced in their lives. The nurse requests the patient to relate current pain to the assessment scale by giving it a corresponding number on the scale </w:t>
      </w:r>
      <w:r>
        <w:rPr>
          <w:rFonts w:ascii="Times New Roman" w:hAnsi="Times New Roman" w:cs="Times New Roman" w:eastAsiaTheme="minorEastAsia"/>
          <w:bCs/>
          <w:sz w:val="24"/>
          <w:szCs w:val="24"/>
        </w:rPr>
        <w:fldChar w:fldCharType="begin" w:fldLock="1"/>
      </w:r>
      <w:r>
        <w:rPr>
          <w:rFonts w:ascii="Times New Roman" w:hAnsi="Times New Roman" w:cs="Times New Roman" w:eastAsiaTheme="minorEastAsia"/>
          <w:bCs/>
          <w:sz w:val="24"/>
          <w:szCs w:val="24"/>
        </w:rPr>
        <w:instrText xml:space="preserve">ADDIN CSL_CITATION {"citationItems":[{"id":"ITEM-1","itemData":{"author":[{"dropping-particle":"","family":"Atisook","given":"Raviwon","non-dropping-particle":"","parse-names":false,"suffix":""}],"id":"ITEM-1","issued":{"date-parts":[["2021"]]},"page":"1129-1139","title":"Validity and Utility of Four Pain Intensity Measures for Use in International Research","type":"article-journal"},"uris":["http://www.mendeley.com/documents/?uuid=4f9438d4-032f-4188-8d85-e5edcc6c9597"]}],"mendeley":{"formattedCitation":"(Atisook, 2021)","plainTextFormattedCitation":"(Atisook, 2021)","previouslyFormattedCitation":"(Atisook, 2021)"},"properties":{"noteIndex":0},"schema":"https://github.com/citation-style-language/schema/raw/master/csl-citation.json"}</w:instrText>
      </w:r>
      <w:r>
        <w:rPr>
          <w:rFonts w:ascii="Times New Roman" w:hAnsi="Times New Roman" w:cs="Times New Roman" w:eastAsiaTheme="minorEastAsia"/>
          <w:bCs/>
          <w:sz w:val="24"/>
          <w:szCs w:val="24"/>
        </w:rPr>
        <w:fldChar w:fldCharType="separate"/>
      </w:r>
      <w:r>
        <w:rPr>
          <w:rFonts w:ascii="Times New Roman" w:hAnsi="Times New Roman" w:cs="Times New Roman" w:eastAsiaTheme="minorEastAsia"/>
          <w:bCs/>
          <w:sz w:val="24"/>
          <w:szCs w:val="24"/>
        </w:rPr>
        <w:t>(Atisook, 2021)</w:t>
      </w:r>
      <w:r>
        <w:rPr>
          <w:rFonts w:ascii="Times New Roman" w:hAnsi="Times New Roman" w:cs="Times New Roman" w:eastAsiaTheme="minorEastAsia"/>
          <w:bCs/>
          <w:sz w:val="24"/>
          <w:szCs w:val="24"/>
        </w:rPr>
        <w:fldChar w:fldCharType="end"/>
      </w:r>
      <w:r>
        <w:rPr>
          <w:rFonts w:ascii="Times New Roman" w:hAnsi="Times New Roman" w:cs="Times New Roman" w:eastAsiaTheme="minorEastAsia"/>
          <w:bCs/>
          <w:sz w:val="24"/>
          <w:szCs w:val="24"/>
        </w:rPr>
        <w:t xml:space="preserve">. </w:t>
      </w:r>
    </w:p>
    <w:p>
      <w:pPr>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eastAsiaTheme="minorEastAsia"/>
          <w:sz w:val="24"/>
          <w:szCs w:val="24"/>
        </w:rPr>
        <w:t xml:space="preserve">Consequently, the nurse will depend on the patients rating of pain intensity to administer the suitable pain killers </w:t>
      </w:r>
      <w:r>
        <w:rPr>
          <w:rFonts w:ascii="Times New Roman" w:hAnsi="Times New Roman" w:cs="Times New Roman" w:eastAsiaTheme="minorEastAsia"/>
          <w:bCs/>
          <w:sz w:val="24"/>
          <w:szCs w:val="24"/>
        </w:rPr>
        <w:fldChar w:fldCharType="begin" w:fldLock="1"/>
      </w:r>
      <w:r>
        <w:rPr>
          <w:rFonts w:ascii="Times New Roman" w:hAnsi="Times New Roman" w:cs="Times New Roman" w:eastAsiaTheme="minorEastAsia"/>
          <w:bCs/>
          <w:sz w:val="24"/>
          <w:szCs w:val="24"/>
        </w:rPr>
        <w:instrText xml:space="preserve">ADDIN CSL_CITATION {"citationItems":[{"id":"ITEM-1","itemData":{"DOI":"10.4314/thrb.v16i1.7","ISSN":"18216404","PMID":"26867272","abstract":"Inadequately controlled postoperative pain (POP) subjects individuals to complications which may be fatal or leading to prolonged hospital stay. Complications from inadequately controlled POP may alleviate the existing shortage of hospital human resource for health in health facilities in developing countries. The burden and challenges of POP management at health facilities in Tanzania is not known. This study was therefore carried out to evaluate postoperative pain management and patient satisfaction with care given at Kilimanjaro Christian Medical Centre (KCMC). This descriptive prospective hospital based study, was conducted at the Kilimanjaro Christian Medical Centre in Moshi, Tanzania from August 2011 to March 2012. POP and patients' satisfaction with pain relief scores were assessed using pain and satisfaction numerical rating scales. Pain assessment was done at 24 hours and 48 hours after operation. Satisfaction was assessed on 48 hours post surgery. All adult patient aged 18 years and above whom were operated in general surgery ward, KCMC and accepted by signing consent were involved in the study. Patients suffering from nervous system were excluded from the study. A total number of 124 patients were recruited and participated in the study. Sixty-five (52.4%) were males and 59 (47.6%) females. Mean age (SD) years 40.9 ± 15.4. The largest percentage of individuals had mild pain both at rest (45.2%) and during movement (44.4%). Patients whose analgesia was administered intravenously were more likely to be satisfied with POP management than those given intramuscular analgesics (P= 0.028). Analgesia used in combination increased significantly the proportion of pain free individuals 48 hours postoperative compared to 24 hours postoperative (P= 0.003). In conclusion, the postoperative pain management is still a challenge in our centre as nearly half of the patient had mild pain in the first 48 hours post surgery.","author":[{"dropping-particle":"","family":"Masigati","given":"Herbert G.","non-dropping-particle":"","parse-names":false,"suffix":""},{"dropping-particle":"","family":"Chilonga","given":"Kondo S.","non-dropping-particle":"","parse-names":false,"suffix":""}],"container-title":"Tanzania Journal of Health Research","id":"ITEM-1","issue":"1","issued":{"date-parts":[["2014"]]},"title":"Postoperative pain management outcomes among adults treated at a tertiary hospital in Moshi, Tanzania","type":"article-journal","volume":"16"},"uris":["http://www.mendeley.com/documents/?uuid=b7f7f79a-e874-4a8b-bae8-88a639bd37eb"]}],"mendeley":{"formattedCitation":"(Masigati &amp; Chilonga, 2014)","plainTextFormattedCitation":"(Masigati &amp; Chilonga, 2014)","previouslyFormattedCitation":"(Masigati &amp; Chilonga, 2014)"},"properties":{"noteIndex":0},"schema":"https://github.com/citation-style-language/schema/raw/master/csl-citation.json"}</w:instrText>
      </w:r>
      <w:r>
        <w:rPr>
          <w:rFonts w:ascii="Times New Roman" w:hAnsi="Times New Roman" w:cs="Times New Roman" w:eastAsiaTheme="minorEastAsia"/>
          <w:bCs/>
          <w:sz w:val="24"/>
          <w:szCs w:val="24"/>
        </w:rPr>
        <w:fldChar w:fldCharType="separate"/>
      </w:r>
      <w:r>
        <w:rPr>
          <w:rFonts w:ascii="Times New Roman" w:hAnsi="Times New Roman" w:cs="Times New Roman" w:eastAsiaTheme="minorEastAsia"/>
          <w:bCs/>
          <w:sz w:val="24"/>
          <w:szCs w:val="24"/>
        </w:rPr>
        <w:t>(Masigati &amp; Chilonga, 2014</w:t>
      </w:r>
      <w:r>
        <w:rPr>
          <w:rFonts w:ascii="Times New Roman" w:hAnsi="Times New Roman" w:cs="Times New Roman" w:eastAsiaTheme="minorEastAsia"/>
          <w:bCs/>
          <w:sz w:val="24"/>
          <w:szCs w:val="24"/>
        </w:rPr>
        <w:fldChar w:fldCharType="end"/>
      </w:r>
      <w:r>
        <w:rPr>
          <w:rFonts w:ascii="Times New Roman" w:hAnsi="Times New Roman" w:cs="Times New Roman" w:eastAsiaTheme="minorEastAsia"/>
          <w:bCs/>
          <w:sz w:val="24"/>
          <w:szCs w:val="24"/>
        </w:rPr>
        <w:t xml:space="preserve">; </w:t>
      </w:r>
      <w:r>
        <w:rPr>
          <w:rFonts w:ascii="Times New Roman" w:hAnsi="Times New Roman" w:cs="Times New Roman" w:eastAsiaTheme="minorEastAsia"/>
          <w:bCs/>
          <w:sz w:val="24"/>
          <w:szCs w:val="24"/>
        </w:rPr>
        <w:fldChar w:fldCharType="begin" w:fldLock="1"/>
      </w:r>
      <w:r>
        <w:rPr>
          <w:rFonts w:ascii="Times New Roman" w:hAnsi="Times New Roman" w:cs="Times New Roman" w:eastAsiaTheme="minorEastAsia"/>
          <w:bCs/>
          <w:sz w:val="24"/>
          <w:szCs w:val="24"/>
        </w:rPr>
        <w:instrText xml:space="preserve">ADDIN CSL_CITATION {"citationItems":[{"id":"ITEM-1","itemData":{"DOI":"10.5799/ahinjs.01.2011.04.0100","ISSN":"1309-8578","author":[{"dropping-particle":"","family":"Yüceer","given":"Sevilay","non-dropping-particle":"","parse-names":false,"suffix":""}],"container-title":"Journal of Clinical and Experimental Investigations","id":"ITEM-1","issue":"4","issued":{"date-parts":[["2011"]]},"page":"474-478","title":"Nursing approaches in the postoperative pain management","type":"article-journal","volume":"2"},"uris":["http://www.mendeley.com/documents/?uuid=e1241b6d-35a2-403a-bac3-2278a8c76495"]}],"mendeley":{"formattedCitation":"(Yüceer, 2011)","plainTextFormattedCitation":"(Yüceer, 2011)","previouslyFormattedCitation":"(Yüceer, 2011)"},"properties":{"noteIndex":0},"schema":"https://github.com/citation-style-language/schema/raw/master/csl-citation.json"}</w:instrText>
      </w:r>
      <w:r>
        <w:rPr>
          <w:rFonts w:ascii="Times New Roman" w:hAnsi="Times New Roman" w:cs="Times New Roman" w:eastAsiaTheme="minorEastAsia"/>
          <w:bCs/>
          <w:sz w:val="24"/>
          <w:szCs w:val="24"/>
        </w:rPr>
        <w:fldChar w:fldCharType="separate"/>
      </w:r>
      <w:r>
        <w:rPr>
          <w:rFonts w:ascii="Times New Roman" w:hAnsi="Times New Roman" w:cs="Times New Roman" w:eastAsiaTheme="minorEastAsia"/>
          <w:bCs/>
          <w:sz w:val="24"/>
          <w:szCs w:val="24"/>
        </w:rPr>
        <w:t>Yüceer, 2011)</w:t>
      </w:r>
      <w:r>
        <w:rPr>
          <w:rFonts w:ascii="Times New Roman" w:hAnsi="Times New Roman" w:cs="Times New Roman" w:eastAsiaTheme="minorEastAsia"/>
          <w:bCs/>
          <w:sz w:val="24"/>
          <w:szCs w:val="24"/>
        </w:rPr>
        <w:fldChar w:fldCharType="end"/>
      </w:r>
      <w:r>
        <w:rPr>
          <w:rFonts w:ascii="Times New Roman" w:hAnsi="Times New Roman" w:cs="Times New Roman" w:eastAsiaTheme="minorEastAsia"/>
          <w:bCs/>
          <w:sz w:val="24"/>
          <w:szCs w:val="24"/>
        </w:rPr>
        <w:t>.</w:t>
      </w:r>
      <w:r>
        <w:rPr>
          <w:rFonts w:ascii="Times New Roman" w:hAnsi="Times New Roman" w:cs="Times New Roman"/>
          <w:sz w:val="24"/>
          <w:szCs w:val="24"/>
          <w:shd w:val="clear" w:color="auto" w:fill="FFFFFF"/>
        </w:rPr>
        <w:t xml:space="preserve"> Pain is measured while a patient is at rest, while moving, when changing positions, or during physical therapy </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10.1097/BTO.0000000000000245.Goals","ISBN":"0000000000000","author":[{"dropping-particle":"","family":"Le-wendling","given":"Linda","non-dropping-particle":"","parse-names":false,"suffix":""},{"dropping-particle":"","family":"Medicine","given":"Perioperative Pain","non-dropping-particle":"","parse-names":false,"suffix":""},{"dropping-particle":"","family":"Glick","given":"Wesley","non-dropping-particle":"","parse-names":false,"suffix":""},{"dropping-particle":"","family":"Medicine","given":"Perioperative Pain","non-dropping-particle":"","parse-names":false,"suffix":""},{"dropping-particle":"","family":"Pain","given":"Perioperative","non-dropping-particle":"","parse-names":false,"suffix":""},{"dropping-particle":"","family":"Tighe","given":"Patrick","non-dropping-particle":"","parse-names":false,"suffix":""},{"dropping-particle":"","family":"Medicine","given":"Perioperative Pain","non-dropping-particle":"","parse-names":false,"suffix":""}],"id":"ITEM-1","issue":"4","issued":{"date-parts":[["2018"]]},"page":"200-208","title":"HHS Public Access","type":"article-journal","volume":"32"},"uris":["http://www.mendeley.com/documents/?uuid=142fc6a0-389d-460a-9419-3b880c0d433a"]}],"mendeley":{"formattedCitation":"(Le-wendling et al., 2018)","plainTextFormattedCitation":"(Le-wendling et al., 2018)","previouslyFormattedCitation":"(Le-wendling et al., 2018)"},"properties":{"noteIndex":0},"schema":"https://github.com/citation-style-language/schema/raw/master/csl-citation.json"}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(Le-wendling et al., 2018</w:t>
      </w:r>
      <w:r>
        <w:rPr>
          <w:rFonts w:ascii="Times New Roman" w:hAnsi="Times New Roman" w:cs="Times New Roman"/>
          <w:bCs/>
          <w:sz w:val="24"/>
          <w:szCs w:val="24"/>
          <w:shd w:val="clear" w:color="auto" w:fill="FFFFFF"/>
        </w:rPr>
        <w:fldChar w:fldCharType="end"/>
      </w:r>
      <w:r>
        <w:rPr>
          <w:rFonts w:ascii="Times New Roman" w:hAnsi="Times New Roman" w:cs="Times New Roman" w:eastAsiaTheme="minorEastAsia"/>
          <w:bCs/>
          <w:sz w:val="24"/>
          <w:szCs w:val="24"/>
          <w:shd w:val="clear" w:color="auto" w:fill="FFFFFF"/>
        </w:rPr>
        <w:t xml:space="preserve">; </w:t>
      </w:r>
      <w:r>
        <w:rPr>
          <w:rFonts w:ascii="Times New Roman" w:hAnsi="Times New Roman" w:cs="Times New Roman" w:eastAsiaTheme="minorEastAsia"/>
          <w:bCs/>
          <w:sz w:val="24"/>
          <w:szCs w:val="24"/>
          <w:shd w:val="clear" w:color="auto" w:fill="FFFFFF"/>
        </w:rPr>
        <w:fldChar w:fldCharType="begin" w:fldLock="1"/>
      </w:r>
      <w:r>
        <w:rPr>
          <w:rFonts w:ascii="Times New Roman" w:hAnsi="Times New Roman" w:cs="Times New Roman" w:eastAsiaTheme="minorEastAsia"/>
          <w:bCs/>
          <w:sz w:val="24"/>
          <w:szCs w:val="24"/>
          <w:shd w:val="clear" w:color="auto" w:fill="FFFFFF"/>
        </w:rPr>
        <w:instrText xml:space="preserve">ADDIN CSL_CITATION {"citationItems":[{"id":"ITEM-1","itemData":{"DOI":"10.4314/thrb.v16i1.7","ISSN":"18216404","PMID":"26867272","abstract":"Inadequately controlled postoperative pain (POP) subjects individuals to complications which may be fatal or leading to prolonged hospital stay. Complications from inadequately controlled POP may alleviate the existing shortage of hospital human resource for health in health facilities in developing countries. The burden and challenges of POP management at health facilities in Tanzania is not known. This study was therefore carried out to evaluate postoperative pain management and patient satisfaction with care given at Kilimanjaro Christian Medical Centre (KCMC). This descriptive prospective hospital based study, was conducted at the Kilimanjaro Christian Medical Centre in Moshi, Tanzania from August 2011 to March 2012. POP and patients' satisfaction with pain relief scores were assessed using pain and satisfaction numerical rating scales. Pain assessment was done at 24 hours and 48 hours after operation. Satisfaction was assessed on 48 hours post surgery. All adult patient aged 18 years and above whom were operated in general surgery ward, KCMC and accepted by signing consent were involved in the study. Patients suffering from nervous system were excluded from the study. A total number of 124 patients were recruited and participated in the study. Sixty-five (52.4%) were males and 59 (47.6%) females. Mean age (SD) years 40.9 ± 15.4. The largest percentage of individuals had mild pain both at rest (45.2%) and during movement (44.4%). Patients whose analgesia was administered intravenously were more likely to be satisfied with POP management than those given intramuscular analgesics (P= 0.028). Analgesia used in combination increased significantly the proportion of pain free individuals 48 hours postoperative compared to 24 hours postoperative (P= 0.003). In conclusion, the postoperative pain management is still a challenge in our centre as nearly half of the patient had mild pain in the first 48 hours post surgery.","author":[{"dropping-particle":"","family":"Masigati","given":"Herbert G.","non-dropping-particle":"","parse-names":false,"suffix":""},{"dropping-particle":"","family":"Chilonga","given":"Kondo S.","non-dropping-particle":"","parse-names":false,"suffix":""}],"container-title":"Tanzania Journal of Health Research","id":"ITEM-1","issue":"1","issued":{"date-parts":[["2014"]]},"title":"Postoperative pain management outcomes among adults treated at a tertiary hospital in Moshi, Tanzania","type":"article-journal","volume":"16"},"uris":["http://www.mendeley.com/documents/?uuid=b7f7f79a-e874-4a8b-bae8-88a639bd37eb"]}],"mendeley":{"formattedCitation":"(Masigati &amp; Chilonga, 2014)","plainTextFormattedCitation":"(Masigati &amp; Chilonga, 2014)","previouslyFormattedCitation":"(Masigati &amp; Chilonga, 2014)"},"properties":{"noteIndex":0},"schema":"https://github.com/citation-style-language/schema/raw/master/csl-citation.json"}</w:instrText>
      </w:r>
      <w:r>
        <w:rPr>
          <w:rFonts w:ascii="Times New Roman" w:hAnsi="Times New Roman" w:cs="Times New Roman" w:eastAsiaTheme="minorEastAsia"/>
          <w:bCs/>
          <w:sz w:val="24"/>
          <w:szCs w:val="24"/>
          <w:shd w:val="clear" w:color="auto" w:fill="FFFFFF"/>
        </w:rPr>
        <w:fldChar w:fldCharType="separate"/>
      </w:r>
      <w:r>
        <w:rPr>
          <w:rFonts w:ascii="Times New Roman" w:hAnsi="Times New Roman" w:cs="Times New Roman" w:eastAsiaTheme="minorEastAsia"/>
          <w:bCs/>
          <w:sz w:val="24"/>
          <w:szCs w:val="24"/>
          <w:shd w:val="clear" w:color="auto" w:fill="FFFFFF"/>
        </w:rPr>
        <w:t>Masigati &amp; Chilonga, 2014</w:t>
      </w:r>
      <w:r>
        <w:rPr>
          <w:rFonts w:ascii="Times New Roman" w:hAnsi="Times New Roman" w:cs="Times New Roman" w:eastAsiaTheme="minorEastAsia"/>
          <w:bCs/>
          <w:sz w:val="24"/>
          <w:szCs w:val="24"/>
          <w:shd w:val="clear" w:color="auto" w:fill="FFFFFF"/>
        </w:rPr>
        <w:fldChar w:fldCharType="end"/>
      </w:r>
      <w:r>
        <w:rPr>
          <w:rFonts w:ascii="Times New Roman" w:hAnsi="Times New Roman" w:cs="Times New Roman" w:eastAsiaTheme="minorEastAsia"/>
          <w:bCs/>
          <w:sz w:val="24"/>
          <w:szCs w:val="24"/>
        </w:rPr>
        <w:t xml:space="preserve">; &amp; </w:t>
      </w:r>
      <w:r>
        <w:rPr>
          <w:rFonts w:ascii="Times New Roman" w:hAnsi="Times New Roman" w:cs="Times New Roman" w:eastAsiaTheme="minorEastAsia"/>
          <w:bCs/>
          <w:sz w:val="24"/>
          <w:szCs w:val="24"/>
        </w:rPr>
        <w:fldChar w:fldCharType="begin" w:fldLock="1"/>
      </w:r>
      <w:r>
        <w:rPr>
          <w:rFonts w:ascii="Times New Roman" w:hAnsi="Times New Roman" w:cs="Times New Roman" w:eastAsiaTheme="minorEastAsia"/>
          <w:bCs/>
          <w:sz w:val="24"/>
          <w:szCs w:val="24"/>
        </w:rPr>
        <w:instrText xml:space="preserve">ADDIN CSL_CITATION {"citationItems":[{"id":"ITEM-1","itemData":{"DOI":"10.5799/ahinjs.01.2011.04.0100","ISSN":"1309-8578","author":[{"dropping-particle":"","family":"Yüceer","given":"Sevilay","non-dropping-particle":"","parse-names":false,"suffix":""}],"container-title":"Journal of Clinical and Experimental Investigations","id":"ITEM-1","issue":"4","issued":{"date-parts":[["2011"]]},"page":"474-478","title":"Nursing approaches in the postoperative pain management","type":"article-journal","volume":"2"},"uris":["http://www.mendeley.com/documents/?uuid=e1241b6d-35a2-403a-bac3-2278a8c76495"]}],"mendeley":{"formattedCitation":"(Yüceer, 2011)","plainTextFormattedCitation":"(Yüceer, 2011)","previouslyFormattedCitation":"(Yüceer, 2011)"},"properties":{"noteIndex":0},"schema":"https://github.com/citation-style-language/schema/raw/master/csl-citation.json"}</w:instrText>
      </w:r>
      <w:r>
        <w:rPr>
          <w:rFonts w:ascii="Times New Roman" w:hAnsi="Times New Roman" w:cs="Times New Roman" w:eastAsiaTheme="minorEastAsia"/>
          <w:bCs/>
          <w:sz w:val="24"/>
          <w:szCs w:val="24"/>
        </w:rPr>
        <w:fldChar w:fldCharType="separate"/>
      </w:r>
      <w:r>
        <w:rPr>
          <w:rFonts w:ascii="Times New Roman" w:hAnsi="Times New Roman" w:cs="Times New Roman" w:eastAsiaTheme="minorEastAsia"/>
          <w:bCs/>
          <w:sz w:val="24"/>
          <w:szCs w:val="24"/>
        </w:rPr>
        <w:t>Yüceer, 2011)</w:t>
      </w:r>
      <w:r>
        <w:rPr>
          <w:rFonts w:ascii="Times New Roman" w:hAnsi="Times New Roman" w:cs="Times New Roman" w:eastAsiaTheme="minorEastAsia"/>
          <w:bCs/>
          <w:sz w:val="24"/>
          <w:szCs w:val="24"/>
        </w:rPr>
        <w:fldChar w:fldCharType="end"/>
      </w:r>
      <w:r>
        <w:rPr>
          <w:rFonts w:ascii="Times New Roman" w:hAnsi="Times New Roman" w:cs="Times New Roman" w:eastAsiaTheme="minorEastAsia"/>
          <w:bCs/>
          <w:sz w:val="24"/>
          <w:szCs w:val="24"/>
        </w:rPr>
        <w:t>.</w:t>
      </w:r>
      <w:r>
        <w:rPr>
          <w:rFonts w:ascii="Times New Roman" w:hAnsi="Times New Roman" w:cs="Times New Roman" w:eastAsiaTheme="minorEastAsia"/>
          <w:sz w:val="24"/>
          <w:szCs w:val="24"/>
        </w:rPr>
        <w:t xml:space="preserve"> </w:t>
      </w:r>
      <w:r>
        <w:rPr>
          <w:rFonts w:ascii="Times New Roman" w:hAnsi="Times New Roman" w:cs="Times New Roman"/>
          <w:sz w:val="24"/>
          <w:szCs w:val="24"/>
          <w:shd w:val="clear" w:color="auto" w:fill="FFFFFF"/>
        </w:rPr>
        <w:t>In conclusion, a critical aspect of managing post-operative pain is pain evaluation. So, in order to choose the best intervention to treat post-operative pain, the nurse must consider measuring the patient's level of discomfort.</w:t>
      </w:r>
    </w:p>
    <w:p>
      <w:pPr>
        <w:spacing w:before="100" w:beforeAutospacing="1" w:after="100" w:afterAutospacing="1" w:line="480" w:lineRule="auto"/>
        <w:ind w:firstLine="720"/>
        <w:jc w:val="both"/>
        <w:rPr>
          <w:rFonts w:ascii="Times New Roman" w:hAnsi="Times New Roman" w:cs="Times New Roman"/>
          <w:color w:val="FF0000"/>
          <w:sz w:val="24"/>
          <w:szCs w:val="24"/>
        </w:rPr>
      </w:pPr>
      <w:r>
        <w:rPr>
          <w:rFonts w:ascii="Times New Roman" w:hAnsi="Times New Roman" w:cs="Times New Roman"/>
          <w:sz w:val="24"/>
          <w:szCs w:val="24"/>
        </w:rPr>
        <w:t>According to Yuceer (2011) in the Journal of Clinical and Experimental Investigations, patients who have trouble talking, such as those who are cognitively deficient, should receive extra consideration when it comes to post-operative pain assessment. In addition to pain assessment, nurses are advised to base on the vital observations as they can be affected by severe pain thus causing hypotension, tachy</w:t>
      </w:r>
      <w:r>
        <w:rPr>
          <w:rFonts w:ascii="Times New Roman" w:hAnsi="Times New Roman" w:cs="Times New Roman"/>
          <w:sz w:val="24"/>
          <w:szCs w:val="24"/>
        </w:rPr>
        <w:softHyphen/>
      </w:r>
      <w:r>
        <w:rPr>
          <w:rFonts w:ascii="Times New Roman" w:hAnsi="Times New Roman" w:cs="Times New Roman"/>
          <w:sz w:val="24"/>
          <w:szCs w:val="24"/>
        </w:rPr>
        <w:t>cardia, or fever which can be immediately evaluated. Effective post-operative pain evaluation aids the nurse in assessing the efficacy of nursing interventions and pain management techniques (Yuceer, 2011).</w:t>
      </w:r>
    </w:p>
    <w:p>
      <w:pPr>
        <w:spacing w:before="100" w:beforeAutospacing="1" w:after="100" w:afterAutospacing="1" w:line="480" w:lineRule="auto"/>
        <w:ind w:firstLine="720"/>
        <w:jc w:val="both"/>
        <w:rPr>
          <w:rFonts w:ascii="Times New Roman" w:hAnsi="Times New Roman" w:cs="Times New Roman" w:eastAsiaTheme="minorEastAsia"/>
          <w:sz w:val="24"/>
          <w:szCs w:val="24"/>
        </w:rPr>
      </w:pPr>
      <w:r>
        <w:rPr>
          <w:rFonts w:ascii="Times New Roman" w:hAnsi="Times New Roman" w:cs="Times New Roman"/>
          <w:sz w:val="24"/>
          <w:szCs w:val="24"/>
        </w:rPr>
        <w:t>In light of this, Faithfull-Bryne theory of clinical coaching in nursing and midwifery will aid me in implementing / integrating the pain assessment scale in post-operative pain treatment. Client satisfaction will result from a good post-operative pain assessment because it will help in selecting the most effective pain management strategy. Instead of just going through the motions, this will be selected after a pain intensity assessment.</w:t>
      </w:r>
    </w:p>
    <w:p>
      <w:pPr>
        <w:spacing w:before="100" w:beforeAutospacing="1" w:after="100" w:afterAutospacing="1" w:line="480" w:lineRule="auto"/>
        <w:ind w:firstLine="720"/>
        <w:jc w:val="both"/>
        <w:rPr>
          <w:rFonts w:ascii="Times New Roman" w:hAnsi="Times New Roman" w:cs="Times New Roman" w:eastAsiaTheme="minorEastAsia"/>
          <w:sz w:val="24"/>
          <w:szCs w:val="24"/>
        </w:rPr>
      </w:pPr>
      <w:r>
        <w:rPr>
          <w:rFonts w:ascii="Times New Roman" w:hAnsi="Times New Roman" w:eastAsia="Times New Roman" w:cs="Times New Roman"/>
          <w:sz w:val="24"/>
          <w:szCs w:val="24"/>
        </w:rPr>
        <w:t xml:space="preserve">In conclusion proper assessment of pain acts as a guide in choosing which measures to take as far as post-operative pain management is concerned. </w:t>
      </w:r>
      <w:r>
        <w:rPr>
          <w:rFonts w:ascii="Times New Roman" w:hAnsi="Times New Roman" w:cs="Times New Roman"/>
          <w:sz w:val="24"/>
          <w:szCs w:val="24"/>
        </w:rPr>
        <w:t>I'm going to demonstrate how to utilize a pain assessment scale to the nurses on the surgical wards so they can gauge how much pain the post-operative patients are experiencing. This will increase the nurses' knowledge of post-operative pain treatment, improving post-operative pain management quality of life.</w:t>
      </w:r>
    </w:p>
    <w:p>
      <w:pPr>
        <w:pStyle w:val="3"/>
        <w:rPr>
          <w:rFonts w:ascii="Times New Roman" w:hAnsi="Times New Roman" w:cs="Times New Roman"/>
          <w:b w:val="0"/>
          <w:sz w:val="24"/>
          <w:szCs w:val="24"/>
        </w:rPr>
      </w:pPr>
      <w:bookmarkStart w:id="63" w:name="_Toc134604141"/>
      <w:bookmarkStart w:id="64" w:name="_Toc142753394"/>
      <w:r>
        <w:rPr>
          <w:rFonts w:ascii="Times New Roman" w:hAnsi="Times New Roman" w:cs="Times New Roman"/>
          <w:sz w:val="24"/>
          <w:szCs w:val="24"/>
        </w:rPr>
        <w:t>Nurses’ attitude towards post-operative pain management.</w:t>
      </w:r>
      <w:bookmarkEnd w:id="63"/>
      <w:bookmarkEnd w:id="64"/>
      <w:r>
        <w:rPr>
          <w:rFonts w:ascii="Times New Roman" w:hAnsi="Times New Roman" w:cs="Times New Roman"/>
          <w:sz w:val="24"/>
          <w:szCs w:val="24"/>
        </w:rPr>
        <w:t xml:space="preserve"> </w:t>
      </w:r>
    </w:p>
    <w:p>
      <w:pPr>
        <w:spacing w:before="100" w:beforeAutospacing="1" w:after="100" w:afterAutospacing="1" w:line="480" w:lineRule="auto"/>
        <w:ind w:firstLine="720"/>
        <w:jc w:val="both"/>
        <w:rPr>
          <w:rFonts w:ascii="Times New Roman" w:hAnsi="Times New Roman" w:cs="Times New Roman"/>
          <w:bCs/>
          <w:sz w:val="24"/>
          <w:szCs w:val="24"/>
          <w:shd w:val="clear" w:color="auto" w:fill="FFFFFF"/>
        </w:rPr>
      </w:pPr>
      <w:r>
        <w:rPr>
          <w:rFonts w:ascii="Times New Roman" w:hAnsi="Times New Roman" w:cs="Times New Roman"/>
          <w:sz w:val="24"/>
          <w:szCs w:val="24"/>
          <w:shd w:val="clear" w:color="auto" w:fill="FFFFFF"/>
        </w:rPr>
        <w:t>Accurate knowledge, a positive attitude, and proficient evaluation abilities in action are necessary for effective pain management. In this study, a nurse's attitude is described as their thoughts and feelings concerning postoperative pain control, which can be either good or negative.</w:t>
      </w:r>
      <w:r>
        <w:rPr>
          <w:rFonts w:ascii="Times New Roman" w:hAnsi="Times New Roman" w:cs="Times New Roman"/>
          <w:sz w:val="24"/>
          <w:szCs w:val="24"/>
        </w:rPr>
        <w:t xml:space="preserve"> Based on sound training, the nurses must have a positive outlook when providing post-operative pain treatment. One of the obstacles to successful post-operative pain management has been recognized as having a poor attitude</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{"citationItems":[{"id":"ITEM-1","itemData":{"DOI":"10.2139/ssrn.3693030","abstract":"Introduction: Effective management of postoperative pain can lead to comfort, better mobility, improved recovery and a short stay in the hospital while untreated pain has harmful impacts on the patients as hopelessness, hinder their response to treatment, and negatively affect their quality of life. Inadequate knowledge and undesirable attitudes toward postoperative pain management were reported as one of the major difficulties to implement effective pain management among nurses. Objective: The main purpose of this study was to assess the knowledge and attitudes of nurses towards postoperative pain management working at Hawassa University comprehensive specialized hospital. Methods: Institution based cross-sectional study was conducted among two hundred three nurses working at the surgical, gynecology, obstetric wards, ophthalmic unit and operation theater from April 1-30, 2019. Data were collected through standardized worldwide accepted \"Knowledge and Attitudes Survey Regarding Pain\" (KASRP) tool it contains 37 items questionnaire of two domains: knowledge and attitude towards pain management. The collected data was analyzed using SPSS version 20. A chi-square test was done and significantly associated factors were identified. Result: One hundred and eighty-seven questionnaires were returned giving a response rate (92.1%). The mean score of correct answers was (22.5%) with a minimum and maximum score of (18.2%) and (75.4%) respectively. After categorizing the level of knowledge and attitude, (82.2 %) of nurses possessed very low knowledge and negative attitude towards postoperative pain management. Prior training on pain management (χ² = 14.935, P=0.001) and reading of medical books or journals about pain (χ² = 5.019, P=0.025) were significantly associated with knowledge and attitude of nurses towards post-operative pain management. Conclusion: Nurses had a very low level of knowledge and a negative attitude towards post-operative pain management. The hospital provides in-service training and avail reading medical books to improve nurse's knowledge and attitude towards post-operative pain management. The federal ministry of Health of Ethiopia enriches the pain content of the nursing curriculum. [ABSTRACT FROM AUTHOR]","author":[{"dropping-particle":"","family":"Jemebere","given":"Wegene","non-dropping-particle":"","parse-names":false,"suffix":""}],"container-title":"SSRN Electronic Journal","id":"ITEM-1","issue":"September","issued":{"date-parts":[["2020"]]},"title":"Knowledge and Attitudes of Nurses towards Postoperative Pain Management in Southern Ethiopia","type":"article-journal"},"uris":["http://www.mendeley.com/documents/?uuid=977a5695-8bf4-461f-8c17-9353e9654613"]}],"mendeley":{"formattedCitation":"(Jemebere, 2020)","manualFormatting":"(Jemebere, Bekele, Tsegaye, &amp; Yohannis, 2020)","plainTextFormattedCitation":"(Jemebere, 2020)","previouslyFormattedCitation":"(Jemebere, 2020)"},"properties":{"noteIndex":0},"schema":"https://github.com/citation-style-language/schema/raw/master/csl-citation.json"}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(Jemebere, Bekele, Tsegaye, &amp; Yohannis, 2020)</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 xml:space="preserve">. </w:t>
      </w:r>
      <w:r>
        <w:rPr>
          <w:rFonts w:ascii="Times New Roman" w:hAnsi="Times New Roman" w:cs="Times New Roman"/>
          <w:sz w:val="24"/>
          <w:szCs w:val="24"/>
          <w:shd w:val="clear" w:color="auto" w:fill="FFFFFF"/>
        </w:rPr>
        <w:t>Within the worldwide health care system, nurses' negative attitudes regarding pain treatment continue to be a concern.</w:t>
      </w:r>
    </w:p>
    <w:p>
      <w:pPr>
        <w:spacing w:before="100" w:beforeAutospacing="1" w:after="100" w:afterAutospacing="1" w:line="480" w:lineRule="auto"/>
        <w:ind w:firstLine="720"/>
        <w:jc w:val="both"/>
        <w:rPr>
          <w:rFonts w:ascii="Times New Roman" w:hAnsi="Times New Roman" w:eastAsia="Times New Roman" w:cs="Times New Roman"/>
          <w:bCs/>
          <w:sz w:val="24"/>
          <w:szCs w:val="24"/>
        </w:rPr>
      </w:pPr>
      <w:r>
        <w:rPr>
          <w:rFonts w:ascii="Times New Roman" w:hAnsi="Times New Roman" w:cs="Times New Roman"/>
          <w:sz w:val="24"/>
          <w:szCs w:val="24"/>
        </w:rPr>
        <w:t>In line with</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{"citationItems":[{"id":"ITEM-1","itemData":{"DOI":"10.1155/2020/4893707","ISSN":"12036765","PMID":"32831982","abstract":"Background. Pain management is a very important aspect of nursing care among postoperative patients. Deficit in the knowledge and bad attitude towards pain management among nurses remain a problem in Ghana. In order to manage pain better in the surgical wards, nurses should be well equipped with knowledge of pain assessment and management. Purpose. The purpose of the study was to determine nurse's knowledge and attitude towards pain management among postoperative patients in surgical units in Ghana. Methodology. This study used the quantitative study approach with a descriptive cross-sectional study design. A sample of 211 nurses was recruited using the convenience sampling method. Data were collected using a questionnaire regarding postoperative pain management. Descriptive statistics, Pearson's correlation coefficient, and the chi-squared test were used to analyze the data using SPSS version 16.0. Results. The mean age of the nurses was 29.77, with the youngest nurse being 23 years and oldest being 39 years. Majority (72.5%) of nurses had moderate knowledge, and 89.6% of the nurses had negative attitude towards pain management. There was no significant relationship between nurse's knowledge and years of experience as a nurse (r = -0.03, p=0.64), as well as no significant relationship between knowledge and number of years working in the surgical ward (r = 0.06, p=0.36). Also, there was no significant relationship between nurses' knowledge and nurses' attitude (r = 0.06, p=0.36). Conclusion and recommendation. The level of knowledge and attitude towards postoperative management were generally inadequate among nurses. Therefore, there is the need to implement in-service training on pain management for nurses working in the surgical units frequently.","author":[{"dropping-particle":"","family":"Adams","given":"Shamsu Deen Mahama","non-dropping-particle":"","parse-names":false,"suffix":""},{"dropping-particle":"","family":"Varaei","given":"Shokoh","non-dropping-particle":"","parse-names":false,"suffix":""},{"dropping-particle":"","family":"Jalalinia","given":"Fatemeh","non-dropping-particle":"","parse-names":false,"suffix":""}],"container-title":"Pain Research and Management","id":"ITEM-1","issued":{"date-parts":[["2020"]]},"title":"Nurses' Knowledge and Attitude towards Postoperative Pain Management in Ghana","type":"article-journal","volume":"2020"},"uris":["http://www.mendeley.com/documents/?uuid=c6b5b873-d7ff-4f6a-a24f-469c5e7cb282"]}],"mendeley":{"formattedCitation":"(Adams et al., 2020)","manualFormatting":" Adams et al. (2020)","plainTextFormattedCitation":"(Adams et al., 2020)","previouslyFormattedCitation":"(Adams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Adams et al. (2020)</w:t>
      </w:r>
      <w:r>
        <w:rPr>
          <w:rFonts w:ascii="Times New Roman" w:hAnsi="Times New Roman" w:cs="Times New Roman"/>
          <w:sz w:val="24"/>
          <w:szCs w:val="24"/>
        </w:rPr>
        <w:fldChar w:fldCharType="end"/>
      </w:r>
      <w:r>
        <w:rPr>
          <w:rFonts w:ascii="Times New Roman" w:hAnsi="Times New Roman" w:cs="Times New Roman"/>
          <w:sz w:val="24"/>
          <w:szCs w:val="24"/>
        </w:rPr>
        <w:t xml:space="preserve"> did a study to ascertain nurses' knowledge and attitudes about postoperative pain care among surgical patients in Ghana and discovered that the majority of nurses (189, or 89.6%)) had negative attitudes, while 22 (10.4%) had favorable attitudes.  More than fifty seven percent (57.3%) of respondents to all the questions agree with the stance that "Patients should be urged to endure as much pain as possible before utilizing an opioid. </w:t>
      </w:r>
    </w:p>
    <w:p>
      <w:pPr>
        <w:spacing w:before="100" w:beforeAutospacing="1" w:after="100" w:afterAutospacing="1" w:line="480" w:lineRule="auto"/>
        <w:ind w:firstLine="720"/>
        <w:jc w:val="both"/>
        <w:rPr>
          <w:rFonts w:ascii="Times New Roman" w:hAnsi="Times New Roman" w:cs="Times New Roman"/>
          <w:bCs/>
          <w:sz w:val="24"/>
          <w:szCs w:val="24"/>
          <w:shd w:val="clear" w:color="auto" w:fill="FFFFFF"/>
        </w:rPr>
      </w:pPr>
      <w:r>
        <w:rPr>
          <w:rFonts w:ascii="Times New Roman" w:hAnsi="Times New Roman" w:cs="Times New Roman"/>
          <w:bCs/>
          <w:sz w:val="24"/>
          <w:szCs w:val="24"/>
          <w:shd w:val="clear" w:color="auto" w:fill="FFFFFF"/>
        </w:rPr>
        <w:t>In Almadinah Almunawwarah, Saudi Arabia, researchers conducted a different study to gather information on the knowledge and attitudes of healthcare professionals on pain assessment. The findings showed that the medical professionals' attitudes on treating patients who are in pain are improper (Al-Quliti &amp; Alamri, 2015)</w:t>
      </w:r>
    </w:p>
    <w:p>
      <w:pPr>
        <w:spacing w:before="100" w:beforeAutospacing="1" w:after="100" w:afterAutospacing="1" w:line="480" w:lineRule="auto"/>
        <w:ind w:firstLine="720"/>
        <w:jc w:val="both"/>
        <w:rPr>
          <w:rFonts w:ascii="Times New Roman" w:hAnsi="Times New Roman" w:cs="Times New Roman"/>
          <w:bCs/>
          <w:sz w:val="24"/>
          <w:szCs w:val="24"/>
          <w:shd w:val="clear" w:color="auto" w:fill="FFFFFF"/>
        </w:rPr>
      </w:pPr>
      <w:r>
        <w:rPr>
          <w:rFonts w:ascii="Times New Roman" w:hAnsi="Times New Roman" w:cs="Times New Roman"/>
          <w:bCs/>
          <w:sz w:val="24"/>
          <w:szCs w:val="24"/>
          <w:shd w:val="clear" w:color="auto" w:fill="FFFFFF"/>
        </w:rPr>
        <w:t>In a descriptive cross-sectional study conducted by Manwere, Chipfuwa, Mukwamba, and Chironda (2015) to evaluate registered nurses' knowledge and attitudes toward the treatment of adult medical patients' pain, it was discovered that the nurses had a negative attitude toward post-operative pain management. With a range of 20–80 percent, the overall mean attitude score was above fifty-six percent (56%) overall. Below the mean score of 50 percent, 30% of the 52 respondents had a score of 47 percent or below. In a descriptive cross-sectional study conducted by Manwere, Chipfuwa, Mukwamba, and Chironda (2015) to evaluate registered nurses' knowledge and attitudes toward the treatment of adult medical patients' pain, it was discovered that the nurses had a negative attitude toward post-operative pain management. With a range of 20–80 percent, the overall mean attitude score was above fifty-six percent (56%) overall. Below the mean score of 50 percent, 30% of the 52 respondents had a score of 47 percent or below.</w:t>
      </w:r>
    </w:p>
    <w:p>
      <w:pPr>
        <w:spacing w:before="100" w:beforeAutospacing="1" w:after="100" w:afterAutospacing="1" w:line="480" w:lineRule="auto"/>
        <w:ind w:firstLine="720"/>
        <w:jc w:val="both"/>
        <w:rPr>
          <w:rFonts w:ascii="Times New Roman" w:hAnsi="Times New Roman" w:cs="Times New Roman"/>
          <w:bCs/>
          <w:sz w:val="24"/>
          <w:szCs w:val="24"/>
          <w:shd w:val="clear" w:color="auto" w:fill="FFFFFF"/>
        </w:rPr>
      </w:pPr>
      <w:r>
        <w:rPr>
          <w:rFonts w:ascii="Times New Roman" w:hAnsi="Times New Roman" w:cs="Times New Roman"/>
          <w:bCs/>
          <w:sz w:val="24"/>
          <w:szCs w:val="24"/>
          <w:shd w:val="clear" w:color="auto" w:fill="FFFFFF"/>
        </w:rPr>
        <w:t>In a descriptive cross-sectional study conducted by Manwere, Chipfuwa, Mukwamba, and Chironda (2015) to evaluate registered nurses' knowledge and attitudes toward the treatment of adult medical patients' pain, it was discovered that the nurses had a negative attitude toward post-operative pain management. With a range of 20–80 percent, the overall mean attitude score was above fifty-six percent (56%) overall. Below the mean score of 50 percent, 30% of the 52 respondents had a score of 47 percent or below.</w:t>
      </w:r>
    </w:p>
    <w:p>
      <w:pPr>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According to </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{"citationItems":[{"id":"ITEM-1","itemData":{"DOI":"10.2139/ssrn.3693030","abstract":"Introduction: Effective management of postoperative pain can lead to comfort, better mobility, improved recovery and a short stay in the hospital while untreated pain has harmful impacts on the patients as hopelessness, hinder their response to treatment, and negatively affect their quality of life. Inadequate knowledge and undesirable attitudes toward postoperative pain management were reported as one of the major difficulties to implement effective pain management among nurses. Objective: The main purpose of this study was to assess the knowledge and attitudes of nurses towards postoperative pain management working at Hawassa University comprehensive specialized hospital. Methods: Institution based cross-sectional study was conducted among two hundred three nurses working at the surgical, gynecology, obstetric wards, ophthalmic unit and operation theater from April 1-30, 2019. Data were collected through standardized worldwide accepted \"Knowledge and Attitudes Survey Regarding Pain\" (KASRP) tool it contains 37 items questionnaire of two domains: knowledge and attitude towards pain management. The collected data was analyzed using SPSS version 20. A chi-square test was done and significantly associated factors were identified. Result: One hundred and eighty-seven questionnaires were returned giving a response rate (92.1%). The mean score of correct answers was (22.5%) with a minimum and maximum score of (18.2%) and (75.4%) respectively. After categorizing the level of knowledge and attitude, (82.2 %) of nurses possessed very low knowledge and negative attitude towards postoperative pain management. Prior training on pain management (χ² = 14.935, P=0.001) and reading of medical books or journals about pain (χ² = 5.019, P=0.025) were significantly associated with knowledge and attitude of nurses towards post-operative pain management. Conclusion: Nurses had a very low level of knowledge and a negative attitude towards post-operative pain management. The hospital provides in-service training and avail reading medical books to improve nurse's knowledge and attitude towards post-operative pain management. The federal ministry of Health of Ethiopia enriches the pain content of the nursing curriculum. [ABSTRACT FROM AUTHOR]","author":[{"dropping-particle":"","family":"Jemebere","given":"Wegene","non-dropping-particle":"","parse-names":false,"suffix":""}],"container-title":"SSRN Electronic Journal","id":"ITEM-1","issue":"September","issued":{"date-parts":[["2020"]]},"title":"Knowledge and Attitudes of Nurses towards Postoperative Pain Management in Southern Ethiopia","type":"article-journal"},"uris":["http://www.mendeley.com/documents/?uuid=977a5695-8bf4-461f-8c17-9353e9654613"]}],"mendeley":{"formattedCitation":"(Jemebere, 2020)","manualFormatting":"Jemebere et al. (2020)","plainTextFormattedCitation":"(Jemebere, 2020)","previouslyFormattedCitation":"(Jemebere, 2020)"},"properties":{"noteIndex":0},"schema":"https://github.com/citation-style-language/schema/raw/master/csl-citation.json"}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Jemebere et al. (2020)</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w:t>
      </w:r>
      <w:r>
        <w:rPr>
          <w:rFonts w:ascii="Times New Roman" w:hAnsi="Times New Roman" w:cs="Times New Roman"/>
          <w:sz w:val="24"/>
          <w:szCs w:val="24"/>
          <w:shd w:val="clear" w:color="auto" w:fill="FFFFFF"/>
        </w:rPr>
        <w:t xml:space="preserve"> conducted a study to evaluate the knowledge and attitudes of nurses working at the comprehensive, specialized hospital of Hawassa University toward post-operative pain management. It was discovered that out of 187 participants, more than 82 percent (82.2 percent) of the nurses had a negative attitude toward post-operative pain management. None of the nurses were described as having a cheerful or upbeat attitude.</w:t>
      </w:r>
      <w:r>
        <w:rPr>
          <w:rFonts w:ascii="Times New Roman" w:hAnsi="Times New Roman" w:cs="Times New Roman"/>
          <w:sz w:val="24"/>
          <w:szCs w:val="24"/>
        </w:rPr>
        <w:t xml:space="preserve"> This was supported by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{"citationItems":[{"id":"ITEM-1","itemData":{"DOI":"10.1111/jjns.12075","ISSN":"17427924","PMID":"25781037","abstract":"Aim: To provide an overview of the administration of opioid analgesics by nurses when prescription is on an \"as-needed\" basis for postoperative pain, and to identify the important factors that determine the decisions of nurses, by using the framework of predisposing, reinforcing, and enabling causes in educational diagnosis and evaluation. Methods: Multiple databases were searched for the period from 2000-2012. Out of a total of 1755 citations and 148 abstracts retrieved, 39 studies met the criteria for inclusion. Studies were considered eligible for review if they focused on situations or factors influencing a nurse's performance in pain assessment and the administration of opioid analgesics in postoperative pain management. Results: The topics of the descriptive and qualitative studies presented four themes: (i) nurses' knowledge and attitudes about pain management; (ii) the situation of nurses' work practices in administrating range orders for opioid analgesics; (iii) factors that influenced nurses' work practices; and (iv) perceived barriers to effective pain management from the nurse's perspective. The experimental studies investigated the effects of different approaches in nurses' pain management practices in postoperative settings and their outcomes for patients. Conclusion: A knowledge deficit was observed to be the reason in most cases for a nurse's failure to administrate adequate analgesics for postoperative pain relief. Pain-related education for nurses is the cornerstone to improve pain management. The integration of enabling and reinforcing factors will help nurses to develop the ability to make the decision to engage in a comprehensive intervention to improve pain management and patient outcomes.","author":[{"dropping-particle":"","family":"Yin","given":"Hai Hui","non-dropping-particle":"","parse-names":false,"suffix":""},{"dropping-particle":"","family":"Tse","given":"Mimi M.Y.","non-dropping-particle":"","parse-names":false,"suffix":""},{"dropping-particle":"","family":"Wong","given":"Frances K.Y.","non-dropping-particle":"","parse-names":false,"suffix":""}],"container-title":"Japan Journal of Nursing Science","id":"ITEM-1","issue":"4","issued":{"date-parts":[["2015"]]},"page":"259-275","title":"Systematic review of the predisposing, enabling, and reinforcing factors which influence nursing administration of opioids in the postoperative period","type":"article-journal","volume":"12"},"uris":["http://www.mendeley.com/documents/?uuid=109a71ab-ab5c-415d-9ff8-810b4b466022"]}],"mendeley":{"formattedCitation":"(Yin et al., 2015)","manualFormatting":"Yin et al. (2015)","plainTextFormattedCitation":"(Yin et al., 2015)","previouslyFormattedCitation":"(Yin et al.,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Yin et al. (2015)</w:t>
      </w:r>
      <w:r>
        <w:rPr>
          <w:rFonts w:ascii="Times New Roman" w:hAnsi="Times New Roman" w:cs="Times New Roman"/>
          <w:sz w:val="24"/>
          <w:szCs w:val="24"/>
        </w:rPr>
        <w:fldChar w:fldCharType="end"/>
      </w:r>
      <w:r>
        <w:rPr>
          <w:rFonts w:ascii="Times New Roman" w:hAnsi="Times New Roman" w:cs="Times New Roman"/>
          <w:sz w:val="24"/>
          <w:szCs w:val="24"/>
        </w:rPr>
        <w:t xml:space="preserve"> Whoever said that nurses have bad views about patients expressing their agony by exaggerating it in order to attract staff attention. Taking into account the results, it is imperative to use a pain evaluation scale in postoperative nursing care, which will enhance the nurse's attitude.</w:t>
      </w:r>
    </w:p>
    <w:p>
      <w:pPr>
        <w:autoSpaceDE w:val="0"/>
        <w:autoSpaceDN w:val="0"/>
        <w:adjustRightInd w:val="0"/>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Patient satisfaction varies depending on how patients feel about their care or whether they are met in terms of expectations (Eti Aslan et al., 2018). Patient satisfaction may be negatively impacted by nurses' post-operative caring behaviors and perceptions of post-operative pain as usual and unavoidable. As a result, post-operative pain assessment is recognized as a crucial and significant component of post-operative pain management. Because it is subjective, postoperative pain should always be treated on an individual basis. Inline, </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{"citationItems":[{"id":"ITEM-1","itemData":{"DOI":"10.1155/2011/278397","ISSN":"12036765","PMID":"22184553","abstract":"BACKGROUND/OBJECTIVES: Pain-related misbeliefs among health care professionals (HCPs) are common and contribute to ineffective postoperative pain assessment. While standardized patients (SPs) have been effectively used to improve HCPs' assessment skills, not all centres have SP programs. The present equivalence randomized controlled pilot trial examined the efficacy of an alternative simulation method - deteriorating patientbased simulation (DPS) - versus SPs for improving HCPs' pain knowledge and assessment skills. METHODS: Seventy-two HCPs were randomly assigned to a 3 h SP or DPS simulation intervention. Measures were recorded at baseline, immediate postintervention and two months postintervention. The primary outcome was HCPs' pain assessment performance as measured by the postoperative Pain Assessment Skills Tool (PAST). Secondary outcomes included HCPs knowledge of pain-related misbeliefs, and perceived satisfaction and quality of the simulation. These outcomes were measured by the Pain Beliefs Scale (PBS), the Satisfaction with Simulated Learning Scale (SSLS) and the Simulation Design Scale (SDS), respectively. Student's t tests were used to test for overall group differences in postintervention PAST, SSLS and SDS scores. One-way analysis of covariance tested for overall group differences in PBS scores. RESULTS: DPS and SP groups did not differ on post-test PAST, SSLS or SDS scores. Knowledge of pain-related misbeliefs was also similar between groups. CONCLUSIONS: These pilot data suggest that DPS is an effective simulation alternative for HCPs' education on postoperative pain assessment, with improvements in performance and knowledge comparable with SP-based simulation. An equivalence trial to examine the effectiveness of deteriorating patient-based simulation versus standardized patients is warranted. ©2011 Pulsus Group Inc. All rights reserved.","author":[{"dropping-particle":"","family":"McGillion","given":"Michael","non-dropping-particle":"","parse-names":false,"suffix":""},{"dropping-particle":"","family":"Dubrowski","given":"Adam","non-dropping-particle":"","parse-names":false,"suffix":""},{"dropping-particle":"","family":"Stremler","given":"Robyn","non-dropping-particle":"","parse-names":false,"suffix":""},{"dropping-particle":"","family":"Watt-Watson","given":"Judy","non-dropping-particle":"","parse-names":false,"suffix":""},{"dropping-particle":"","family":"Campbell","given":"Fiona","non-dropping-particle":"","parse-names":false,"suffix":""},{"dropping-particle":"","family":"McCartney","given":"Colin","non-dropping-particle":"","parse-names":false,"suffix":""},{"dropping-particle":"","family":"Victor","given":"J. Charles","non-dropping-particle":"","parse-names":false,"suffix":""},{"dropping-particle":"","family":"Wiseman","given":"Jeffrey","non-dropping-particle":"","parse-names":false,"suffix":""},{"dropping-particle":"","family":"Snell","given":"Linda","non-dropping-particle":"","parse-names":false,"suffix":""},{"dropping-particle":"","family":"Costello","given":"Judy","non-dropping-particle":"","parse-names":false,"suffix":""},{"dropping-particle":"","family":"Robb","given":"Anja","non-dropping-particle":"","parse-names":false,"suffix":""},{"dropping-particle":"","family":"Nelson","given":"Sioban","non-dropping-particle":"","parse-names":false,"suffix":""},{"dropping-particle":"","family":"Stinson","given":"Jennifer","non-dropping-particle":"","parse-names":false,"suffix":""},{"dropping-particle":"","family":"Hunter","given":"Judith","non-dropping-particle":"","parse-names":false,"suffix":""},{"dropping-particle":"","family":"Dao","given":"Thuan","non-dropping-particle":"","parse-names":false,"suffix":""},{"dropping-particle":"","family":"Promislow","given":"Sara","non-dropping-particle":"","parse-names":false,"suffix":""},{"dropping-particle":"","family":"McNaughton","given":"Nancy","non-dropping-particle":"","parse-names":false,"suffix":""},{"dropping-particle":"","family":"White","given":"Scott","non-dropping-particle":"","parse-names":false,"suffix":""},{"dropping-particle":"","family":"Shobbrook","given":"Cindy","non-dropping-particle":"","parse-names":false,"suffix":""},{"dropping-particle":"","family":"Jeffs","given":"Lianne","non-dropping-particle":"","parse-names":false,"suffix":""},{"dropping-particle":"","family":"Mauch","given":"Kianda","non-dropping-particle":"","parse-names":false,"suffix":""},{"dropping-particle":"","family":"Leegaard","given":"Marit","non-dropping-particle":"","parse-names":false,"suffix":""},{"dropping-particle":"","family":"Beattie","given":"W. Scott","non-dropping-particle":"","parse-names":false,"suffix":""},{"dropping-particle":"","family":"Schreiber","given":"Martin","non-dropping-particle":"","parse-names":false,"suffix":""},{"dropping-particle":"","family":"Silver","given":"Ivan","non-dropping-particle":"","parse-names":false,"suffix":""}],"container-title":"Pain Research and Management","id":"ITEM-1","issue":"6","issued":{"date-parts":[["2011"]]},"page":"433-439","title":"The Postoperative Pain Assessment Skills pilot trial","type":"article-journal","volume":"16"},"uris":["http://www.mendeley.com/documents/?uuid=845043b3-e68a-4719-981d-9277f9c2e574"]}],"mendeley":{"formattedCitation":"(McGillion et al., 2011)","manualFormatting":"McGillion et al. (2011)","plainTextFormattedCitation":"(McGillion et al., 2011)","previouslyFormattedCitation":"(McGillion et al., 2011)"},"properties":{"noteIndex":0},"schema":"https://github.com/citation-style-language/schema/raw/master/csl-citation.json"}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McGillion et al. (2011)</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 xml:space="preserve"> </w:t>
      </w:r>
      <w:r>
        <w:rPr>
          <w:rFonts w:ascii="Times New Roman" w:hAnsi="Times New Roman" w:cs="Times New Roman"/>
          <w:sz w:val="24"/>
          <w:szCs w:val="24"/>
          <w:shd w:val="clear" w:color="auto" w:fill="FFFFFF"/>
        </w:rPr>
        <w:t>conducted a  study on post-operative pain assessment skills pilot trial, it was shown that health care workers frequently hold pain-related myths that make post-operative pain assessment inefficient.</w:t>
      </w:r>
    </w:p>
    <w:p>
      <w:pPr>
        <w:autoSpaceDE w:val="0"/>
        <w:autoSpaceDN w:val="0"/>
        <w:adjustRightInd w:val="0"/>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bCs/>
          <w:sz w:val="24"/>
          <w:szCs w:val="24"/>
        </w:rPr>
        <w:t>In a descriptive cross-sectional study conducted by Kiwanuka and Masaba (2018) at the Uganda Cancer Institute, it was determined that nurses there had positive attitudes toward pain assessment. The average attitude scale score for nurses was nine out of a possible twelve, indicating a positive attitude towards pain assessment.</w:t>
      </w:r>
      <w:r>
        <w:rPr>
          <w:rFonts w:ascii="Times New Roman" w:hAnsi="Times New Roman" w:eastAsia="Times New Roman" w:cs="Times New Roman"/>
          <w:color w:val="000000"/>
          <w:sz w:val="24"/>
          <w:szCs w:val="24"/>
        </w:rPr>
        <w:t xml:space="preserve"> For children under the age of eleven, nurses "should depend completely on the guardians'/parents' evaluation to establish a child's pain level." It was offered by 63 respondents, or 94.02 percent, showing a definite favorable attitude. The attitude and actions of nurses play a crucial role in fostering the patient's comfort. The nurse's attitude may thus be positively impacted by including the pain assessment scale into post-operative pain care.</w:t>
      </w:r>
    </w:p>
    <w:p>
      <w:pPr>
        <w:spacing w:before="100" w:beforeAutospacing="1" w:after="100" w:afterAutospacing="1" w:line="480" w:lineRule="auto"/>
        <w:ind w:firstLine="720"/>
        <w:jc w:val="both"/>
        <w:rPr>
          <w:rFonts w:ascii="Times New Roman" w:hAnsi="Times New Roman" w:cs="Times New Roman"/>
          <w:b/>
          <w:sz w:val="24"/>
          <w:szCs w:val="24"/>
        </w:rPr>
      </w:pPr>
      <w:r>
        <w:rPr>
          <w:rFonts w:ascii="Times New Roman" w:hAnsi="Times New Roman" w:cs="Times New Roman"/>
          <w:iCs/>
          <w:sz w:val="24"/>
          <w:szCs w:val="24"/>
        </w:rPr>
        <w:t>In a descriptive survey research design to assess nurses' knowledge, attitudes, and barriers surrounding pain, Shoqirat et al. (2019) and Buvanendran et al. (2015) discovered that the surgical nurses in this study had negative attitudes toward pain management in post-operative patients.</w:t>
      </w:r>
      <w:r>
        <w:rPr>
          <w:rFonts w:ascii="Times New Roman" w:hAnsi="Times New Roman" w:cs="Times New Roman"/>
          <w:sz w:val="24"/>
          <w:szCs w:val="24"/>
        </w:rPr>
        <w:t xml:space="preserve"> The average of all replies was 3.12 out of 5, which is a low score (63.9%), showing that the participants had negative statements. </w:t>
      </w:r>
      <w:r>
        <w:rPr>
          <w:rFonts w:ascii="Times New Roman" w:hAnsi="Times New Roman" w:cs="Times New Roman"/>
          <w:sz w:val="24"/>
          <w:szCs w:val="24"/>
          <w:shd w:val="clear" w:color="auto" w:fill="FFFFFF"/>
        </w:rPr>
        <w:t>Patients using opioids on a PRN basis may be more likely to exhibit clock-watching habits, according to the question item, which has a mean score of 3.78/5 and a standard deviation of 0.99. The mean score and standard deviation for another test item, "When a patient requests increasing amounts of analgesics to control pain, this usually suggests that the patient is psychologically dependent," were 3.94/5 and 0.94, respectively. According to the results, a bad attitude has an adverse effect on post-operative pain control. Therefore, it is advisable to use the educational intervention on the use of a pain assessment scale for post-operative pain management.</w:t>
      </w:r>
    </w:p>
    <w:p>
      <w:pPr>
        <w:autoSpaceDE w:val="0"/>
        <w:autoSpaceDN w:val="0"/>
        <w:adjustRightInd w:val="0"/>
        <w:spacing w:before="100" w:beforeAutospacing="1" w:after="100" w:afterAutospacing="1" w:line="480" w:lineRule="auto"/>
        <w:ind w:firstLine="720"/>
        <w:jc w:val="both"/>
        <w:rPr>
          <w:rFonts w:ascii="Times New Roman" w:hAnsi="Times New Roman" w:cs="Times New Roman" w:eastAsiaTheme="minorEastAsia"/>
          <w:sz w:val="24"/>
          <w:szCs w:val="24"/>
        </w:rPr>
      </w:pPr>
      <w:r>
        <w:rPr>
          <w:rFonts w:ascii="Times New Roman" w:hAnsi="Times New Roman" w:cs="Times New Roman"/>
          <w:sz w:val="24"/>
          <w:szCs w:val="24"/>
          <w:shd w:val="clear" w:color="auto" w:fill="FFFFFF"/>
        </w:rPr>
        <w:t xml:space="preserve">According to a study on nurses' knowledge and attitudes toward post-operative pain management conducted in Ghana by Adams et al. </w:t>
      </w:r>
      <w:r>
        <w:rPr>
          <w:rFonts w:ascii="Times New Roman" w:hAnsi="Times New Roman" w:cs="Times New Roman"/>
          <w:sz w:val="24"/>
          <w:szCs w:val="24"/>
          <w:shd w:val="clear" w:color="auto" w:fill="FFFFFF"/>
          <w:lang w:val="fr-FR"/>
        </w:rPr>
        <w:t xml:space="preserve">(2020), Salim, Tuffaha and Brant (2020), Al-Quliti &amp; Alamri (2015), Dessie et al. </w:t>
      </w:r>
      <w:r>
        <w:rPr>
          <w:rFonts w:ascii="Times New Roman" w:hAnsi="Times New Roman" w:cs="Times New Roman"/>
          <w:sz w:val="24"/>
          <w:szCs w:val="24"/>
          <w:shd w:val="clear" w:color="auto" w:fill="FFFFFF"/>
        </w:rPr>
        <w:t>(2019), and Menlah et al. (2018), there was a negative attitude among the nurses toward post-operative management.</w:t>
      </w:r>
    </w:p>
    <w:p>
      <w:pPr>
        <w:shd w:val="clear" w:color="auto" w:fill="FFFFFF"/>
        <w:spacing w:before="100" w:beforeAutospacing="1" w:after="100" w:afterAutospacing="1" w:line="480" w:lineRule="auto"/>
        <w:ind w:firstLine="720"/>
        <w:jc w:val="both"/>
        <w:outlineLvl w:val="0"/>
        <w:rPr>
          <w:rFonts w:ascii="Times New Roman" w:hAnsi="Times New Roman" w:cs="Times New Roman" w:eastAsiaTheme="minorEastAsia"/>
          <w:sz w:val="24"/>
          <w:szCs w:val="24"/>
        </w:rPr>
      </w:pPr>
      <w:bookmarkStart w:id="65" w:name="_Toc134604142"/>
      <w:bookmarkStart w:id="66" w:name="_Toc142753395"/>
      <w:bookmarkStart w:id="67" w:name="_Toc134608274"/>
      <w:r>
        <w:rPr>
          <w:rFonts w:ascii="Times New Roman" w:hAnsi="Times New Roman" w:cs="Times New Roman" w:eastAsiaTheme="minorEastAsia"/>
          <w:sz w:val="24"/>
          <w:szCs w:val="24"/>
        </w:rPr>
        <w:t>As a result, postoperative pain management must incorporate pain evaluation, which may change the nurse's perspective on postoperative pain management. Client satisfaction will result from a good post-operative pain evaluation because, rather than just going through the motions, an appropriate intervention to treat post-operative pain will be selected after assessment of pain severity.</w:t>
      </w:r>
      <w:bookmarkEnd w:id="65"/>
      <w:bookmarkEnd w:id="66"/>
      <w:bookmarkEnd w:id="67"/>
    </w:p>
    <w:p>
      <w:pPr>
        <w:pStyle w:val="3"/>
        <w:rPr>
          <w:rFonts w:ascii="Times New Roman" w:hAnsi="Times New Roman" w:cs="Times New Roman"/>
          <w:b w:val="0"/>
          <w:sz w:val="24"/>
          <w:szCs w:val="24"/>
        </w:rPr>
      </w:pPr>
      <w:bookmarkStart w:id="68" w:name="_Toc134604143"/>
      <w:bookmarkStart w:id="69" w:name="_Toc142753396"/>
      <w:r>
        <w:rPr>
          <w:rFonts w:ascii="Times New Roman" w:hAnsi="Times New Roman" w:cs="Times New Roman"/>
          <w:sz w:val="24"/>
          <w:szCs w:val="24"/>
        </w:rPr>
        <w:t>Nurses’ practice towards post-operative pain assessment.</w:t>
      </w:r>
      <w:bookmarkEnd w:id="68"/>
      <w:bookmarkEnd w:id="69"/>
    </w:p>
    <w:p>
      <w:pPr>
        <w:autoSpaceDE w:val="0"/>
        <w:autoSpaceDN w:val="0"/>
        <w:adjustRightInd w:val="0"/>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 nursing, practice refers to the execution of interventions based on pain assessment and management concepts. In postoperative pain management, the assessment of pain is a critical nursing action that necessitates interaction between the patient and the nurse. The methods for assessing pain include physical responses, observation, and patient self-report using pain scales. Effective pain management is thought to start with successful pain evaluation, which is why it's imperative for all post-operative treatments to be done on a regular basis</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{"citationItems":[{"id":"ITEM-1","itemData":{"DOI":"10.1177/2158244020924377","ISSN":"21582440","abstract":"The aim of the study was to investigate surgical patients’ pain experience and the quality of nursing care in managing acute postoperative pain. A descriptive cross-sectional study using a Strategic and Clinical Quality Indicators in Postoperative Pain Management Questionnaire collected data of 247 patients who underwent surgery in the surgical clinics of a state hospital. Data of 141 patients were included in the analysis. The mean scores for the scale items indicated that the quality of care was acceptable or low. The level of postoperative care, nursing interventions, and environmental subscales of the questionnaire were at an acceptable level, but pain management subscales of the questionnaire were low. These results suggest that health care, including measurable, applicable quality indicators, should be planned and evaluated to maintain professional nursing services, to achieve postoperative pain management and to relieve pain.","author":[{"dropping-particle":"","family":"Köse Tamer","given":"Laika","non-dropping-particle":"","parse-names":false,"suffix":""},{"dropping-particle":"","family":"Sucu Dağ","given":"Gülten","non-dropping-particle":"","parse-names":false,"suffix":""}],"container-title":"SAGE Open","id":"ITEM-1","issue":"2","issued":{"date-parts":[["2020"]]},"title":"The Assessment of Pain and the Quality of Postoperative Pain Management in Surgical Patients","type":"article-journal","volume":"10"},"uris":["http://www.mendeley.com/documents/?uuid=ed2fcb09-8a2b-42b7-b62f-f418152b53b9"]}],"mendeley":{"formattedCitation":"(Köse Tamer &amp; Sucu Dağ, 2020)","plainTextFormattedCitation":"(Köse Tamer &amp; Sucu Dağ, 2020)","previouslyFormattedCitation":"(Köse Tamer &amp; Sucu Dağ, 2020)"},"properties":{"noteIndex":0},"schema":"https://github.com/citation-style-language/schema/raw/master/csl-citation.json"}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(Köse Tamer &amp; Sucu Dağ, 2020)</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 xml:space="preserve">. </w:t>
      </w:r>
    </w:p>
    <w:p>
      <w:pPr>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{"citationItems":[{"id":"ITEM-1","itemData":{"DOI":"10.1177/2158244020924377","ISSN":"21582440","abstract":"The aim of the study was to investigate surgical patients’ pain experience and the quality of nursing care in managing acute postoperative pain. A descriptive cross-sectional study using a Strategic and Clinical Quality Indicators in Postoperative Pain Management Questionnaire collected data of 247 patients who underwent surgery in the surgical clinics of a state hospital. Data of 141 patients were included in the analysis. The mean scores for the scale items indicated that the quality of care was acceptable or low. The level of postoperative care, nursing interventions, and environmental subscales of the questionnaire were at an acceptable level, but pain management subscales of the questionnaire were low. These results suggest that health care, including measurable, applicable quality indicators, should be planned and evaluated to maintain professional nursing services, to achieve postoperative pain management and to relieve pain.","author":[{"dropping-particle":"","family":"Köse Tamer","given":"Laika","non-dropping-particle":"","parse-names":false,"suffix":""},{"dropping-particle":"","family":"Sucu Dağ","given":"Gülten","non-dropping-particle":"","parse-names":false,"suffix":""}],"container-title":"SAGE Open","id":"ITEM-1","issue":"2","issued":{"date-parts":[["2020"]]},"title":"The Assessment of Pain and the Quality of Postoperative Pain Management in Surgical Patients","type":"article-journal","volume":"10"},"uris":["http://www.mendeley.com/documents/?uuid=ed2fcb09-8a2b-42b7-b62f-f418152b53b9"]}],"mendeley":{"formattedCitation":"(Köse Tamer &amp; Sucu Dağ, 2020)","manualFormatting":"Köse Tamer and Sucu Dağ (2020)","plainTextFormattedCitation":"(Köse Tamer &amp; Sucu Dağ, 2020)","previouslyFormattedCitation":"(Köse Tamer &amp; Sucu Dağ,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Köse Tamer and Sucu Dağ (2020)</w:t>
      </w:r>
      <w:r>
        <w:rPr>
          <w:rFonts w:ascii="Times New Roman" w:hAnsi="Times New Roman" w:cs="Times New Roman"/>
          <w:sz w:val="24"/>
          <w:szCs w:val="24"/>
        </w:rPr>
        <w:fldChar w:fldCharType="end"/>
      </w:r>
      <w:r>
        <w:rPr>
          <w:rFonts w:ascii="Times New Roman" w:hAnsi="Times New Roman" w:cs="Times New Roman"/>
          <w:bCs/>
          <w:color w:val="FF0000"/>
          <w:sz w:val="24"/>
          <w:szCs w:val="24"/>
        </w:rPr>
        <w:t xml:space="preserve"> </w:t>
      </w:r>
      <w:r>
        <w:rPr>
          <w:rFonts w:ascii="Times New Roman" w:hAnsi="Times New Roman" w:cs="Times New Roman"/>
          <w:bCs/>
          <w:sz w:val="24"/>
          <w:szCs w:val="24"/>
        </w:rPr>
        <w:t>observation, history taking, examination, palpation, and the use of the pain assessment scale to evaluate intensity are all steps in the process of assessing pain. A pain scale is a rating instrument that people can use to communicate their level of pain to a medical Professionals.</w:t>
      </w:r>
      <w:r>
        <w:rPr>
          <w:rFonts w:ascii="Times New Roman" w:hAnsi="Times New Roman" w:cs="Times New Roman"/>
          <w:bCs/>
          <w:sz w:val="24"/>
          <w:szCs w:val="24"/>
          <w:shd w:val="clear" w:color="auto" w:fill="FFFFFF"/>
        </w:rPr>
        <w:t xml:space="preserve"> There are several tools available for nurses to use to categorize the level of pain, including numerical rating scales that use numbers to rate pain, visual analog scales that ask patients to indicate where on the scale corresponds to their level of pain, and categorical scales that use words as the primary communication tool and may also incorporate numbers, colors, or relative location to communicate pain</w:t>
      </w:r>
      <w:r>
        <w:rPr>
          <w:rFonts w:ascii="Times New Roman" w:hAnsi="Times New Roman" w:cs="Times New Roman"/>
          <w:sz w:val="24"/>
          <w:szCs w:val="24"/>
          <w:shd w:val="clear" w:color="auto" w:fill="FFFFFF"/>
        </w:rPr>
        <w:fldChar w:fldCharType="begin" w:fldLock="1"/>
      </w:r>
      <w:r>
        <w:rPr>
          <w:rFonts w:ascii="Times New Roman" w:hAnsi="Times New Roman" w:cs="Times New Roman"/>
          <w:sz w:val="24"/>
          <w:szCs w:val="24"/>
          <w:shd w:val="clear" w:color="auto" w:fill="FFFFFF"/>
        </w:rPr>
        <w:instrText xml:space="preserve">ADDIN CSL_CITATION {"citationItems":[{"id":"ITEM-1","itemData":{"DOI":"10.17712/nsj.2015.2.20140546","ISSN":"13196138","PMID":"25864065","abstract":"Objective: To present data on knowledge and attitudes toward pain assessment among health care providers in Almadinah Almunawwarah, Saudi Arabia. Methods: This exploratory study required at least 100 participants to attain an effect size of 0.2 or larger. A convenience sample was recruited from the major hospitals in Almadinah Almunawwarah, Saudi Arabia; King Fahad Hospital, Ohud Hospital, Alansar Hospital, Almeqat Hospital, and the Maternity Hospital. Data collection occurred between January and April 2014. Knowledge of pain assessment was examined by administering the Knowledge and Attitudes Survey Regarding Pain. Results: Data from 105 participants was collected. Seventy-three participants scored 44% or below (69.5%), and 32 participants scored 45% and above (30.5%). Additionally, only 6 participants (5.7%) scored above 60%. There were significant differences between male and female scores (p=0.05), physicians’ and nurses’ scores (p=0.001), and level of education (p=0.009). There were no significant differences in the passing scores across means of nationality, the department where participants worked, years of experience, and age of participants. Conclusion: There is a deficit in pain assessment knowledge, and pain management in the study group. Continuous education on pain assessment is required to increase the health care providers’ knowledge, and enhance their practices regarding pain assessment and treatment.","author":[{"dropping-particle":"","family":"Al-Quliti","given":"Khalid W.","non-dropping-particle":"","parse-names":false,"suffix":""},{"dropping-particle":"","family":"Alamri","given":"Majed S.","non-dropping-particle":"","parse-names":false,"suffix":""}],"container-title":"Neurosciences","id":"ITEM-1","issue":"2","issued":{"date-parts":[["2015"]]},"page":"131-136","title":"Knowledge, attitudes, and practices of health care providers in Almadinah Almunawwarah, Saudi Arabia","type":"article-journal","volume":"20"},"uris":["http://www.mendeley.com/documents/?uuid=2230e7ec-ed87-4711-985e-53a4e8b1e266"]}],"mendeley":{"formattedCitation":"(Al-Quliti &amp; Alamri, 2015)","plainTextFormattedCitation":"(Al-Quliti &amp; Alamri, 2015)","previouslyFormattedCitation":"(Al-Quliti &amp; Alamri, 2015)"},"properties":{"noteIndex":0},"schema":"https://github.com/citation-style-language/schema/raw/master/csl-citation.json"}</w:instrText>
      </w:r>
      <w:r>
        <w:rPr>
          <w:rFonts w:ascii="Times New Roman" w:hAnsi="Times New Roman" w:cs="Times New Roman"/>
          <w:sz w:val="24"/>
          <w:szCs w:val="24"/>
          <w:shd w:val="clear" w:color="auto" w:fill="FFFFFF"/>
        </w:rPr>
        <w:fldChar w:fldCharType="separate"/>
      </w:r>
      <w:r>
        <w:rPr>
          <w:rFonts w:ascii="Times New Roman" w:hAnsi="Times New Roman" w:cs="Times New Roman"/>
          <w:sz w:val="24"/>
          <w:szCs w:val="24"/>
          <w:shd w:val="clear" w:color="auto" w:fill="FFFFFF"/>
        </w:rPr>
        <w:t>(Al-Quliti &amp; Alamri, 2015)</w:t>
      </w:r>
      <w:r>
        <w:rPr>
          <w:rFonts w:ascii="Times New Roman" w:hAnsi="Times New Roman" w:cs="Times New Roman"/>
          <w:sz w:val="24"/>
          <w:szCs w:val="24"/>
          <w:shd w:val="clear" w:color="auto" w:fill="FFFFFF"/>
        </w:rPr>
        <w:fldChar w:fldCharType="end"/>
      </w:r>
      <w:r>
        <w:rPr>
          <w:rFonts w:ascii="Times New Roman" w:hAnsi="Times New Roman" w:eastAsia="Times New Roman" w:cs="Times New Roman"/>
          <w:sz w:val="24"/>
          <w:szCs w:val="24"/>
        </w:rPr>
        <w:t>.</w:t>
      </w:r>
      <w:r>
        <w:rPr>
          <w:rFonts w:ascii="Times New Roman" w:hAnsi="Times New Roman" w:cs="Times New Roman"/>
          <w:sz w:val="24"/>
          <w:szCs w:val="24"/>
          <w:shd w:val="clear" w:color="auto" w:fill="FFFFFF"/>
        </w:rPr>
        <w:t xml:space="preserve"> Because of its simplicity, consistency, comprehensibility, and sensitivity to minute changes in pain levels, the numerical rating scale will be employed in this investigation. The pain scale rates on a scale of 0 to 10, with 0 representing "no pain" and 10 representing "the worst suffering possible." The number that best depicts the pain component, typically intensity, is chosen (verbally) by the patient, or a circle is drawn around it. </w:t>
      </w:r>
      <w:r>
        <w:rPr>
          <w:rFonts w:ascii="Times New Roman" w:hAnsi="Times New Roman" w:cs="Times New Roman"/>
          <w:sz w:val="24"/>
          <w:szCs w:val="24"/>
        </w:rPr>
        <w:t>The suitable patient's developmental, physical, emotional, and cognitive level are taken into consideration while choosing the pain scale to be used.</w:t>
      </w:r>
    </w:p>
    <w:p>
      <w:pPr>
        <w:spacing w:before="100" w:beforeAutospacing="1" w:after="100" w:afterAutospacing="1" w:line="480" w:lineRule="auto"/>
        <w:ind w:firstLine="720"/>
        <w:jc w:val="both"/>
        <w:rPr>
          <w:rFonts w:ascii="Times New Roman" w:hAnsi="Times New Roman" w:cs="Times New Roman"/>
          <w:b/>
          <w:bCs/>
          <w:sz w:val="24"/>
          <w:szCs w:val="24"/>
        </w:rPr>
      </w:pPr>
      <w:r>
        <w:rPr>
          <w:rFonts w:ascii="Times New Roman" w:hAnsi="Times New Roman" w:cs="Times New Roman"/>
          <w:sz w:val="24"/>
          <w:szCs w:val="24"/>
        </w:rPr>
        <w:t>Further, the needs of the patient and the pain management team should also be catered to. In keeping with that, it is advised that patients who are unable to communicate, such as those who are cognitively impaired, the severely emotionally disturbed, children, those who do not speak the local language, and those whose education levels or cultural backgrounds differ significantly from those of the healthcare team, require special attention.</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{"citationItems":[{"id":"ITEM-1","itemData":{"DOI":"10.17712/nsj.2015.2.20140546","ISSN":"13196138","PMID":"25864065","abstract":"Objective: To present data on knowledge and attitudes toward pain assessment among health care providers in Almadinah Almunawwarah, Saudi Arabia. Methods: This exploratory study required at least 100 participants to attain an effect size of 0.2 or larger. A convenience sample was recruited from the major hospitals in Almadinah Almunawwarah, Saudi Arabia; King Fahad Hospital, Ohud Hospital, Alansar Hospital, Almeqat Hospital, and the Maternity Hospital. Data collection occurred between January and April 2014. Knowledge of pain assessment was examined by administering the Knowledge and Attitudes Survey Regarding Pain. Results: Data from 105 participants was collected. Seventy-three participants scored 44% or below (69.5%), and 32 participants scored 45% and above (30.5%). Additionally, only 6 participants (5.7%) scored above 60%. There were significant differences between male and female scores (p=0.05), physicians’ and nurses’ scores (p=0.001), and level of education (p=0.009). There were no significant differences in the passing scores across means of nationality, the department where participants worked, years of experience, and age of participants. Conclusion: There is a deficit in pain assessment knowledge, and pain management in the study group. Continuous education on pain assessment is required to increase the health care providers’ knowledge, and enhance their practices regarding pain assessment and treatment.","author":[{"dropping-particle":"","family":"Al-Quliti","given":"Khalid W.","non-dropping-particle":"","parse-names":false,"suffix":""},{"dropping-particle":"","family":"Alamri","given":"Majed S.","non-dropping-particle":"","parse-names":false,"suffix":""}],"container-title":"Neurosciences","id":"ITEM-1","issue":"2","issued":{"date-parts":[["2015"]]},"page":"131-136","title":"Knowledge, attitudes, and practices of health care providers in Almadinah Almunawwarah, Saudi Arabia","type":"article-journal","volume":"20"},"uris":["http://www.mendeley.com/documents/?uuid=2230e7ec-ed87-4711-985e-53a4e8b1e266"]}],"mendeley":{"formattedCitation":"(Al-Quliti &amp; Alamri, 2015)","plainTextFormattedCitation":"(Al-Quliti &amp; Alamri, 2015)","previouslyFormattedCitation":"(Al-Quliti &amp; Alamri, 2015)"},"properties":{"noteIndex":0},"schema":"https://github.com/citation-style-language/schema/raw/master/csl-citation.json"}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(Al-Quliti &amp; Alamri, 2015)</w:t>
      </w:r>
      <w:r>
        <w:rPr>
          <w:rFonts w:ascii="Times New Roman" w:hAnsi="Times New Roman" w:cs="Times New Roman"/>
          <w:bCs/>
          <w:sz w:val="24"/>
          <w:szCs w:val="24"/>
        </w:rPr>
        <w:fldChar w:fldCharType="end"/>
      </w:r>
      <w:r>
        <w:rPr>
          <w:rFonts w:ascii="Times New Roman" w:hAnsi="Times New Roman" w:eastAsia="Times New Roman" w:cs="Times New Roman"/>
          <w:bCs/>
          <w:sz w:val="24"/>
          <w:szCs w:val="24"/>
        </w:rPr>
        <w:t xml:space="preserve">. </w:t>
      </w:r>
    </w:p>
    <w:p>
      <w:pPr>
        <w:autoSpaceDE w:val="0"/>
        <w:autoSpaceDN w:val="0"/>
        <w:adjustRightInd w:val="0"/>
        <w:spacing w:before="100" w:beforeAutospacing="1" w:after="100" w:afterAutospacing="1" w:line="480" w:lineRule="auto"/>
        <w:ind w:firstLine="720"/>
        <w:jc w:val="both"/>
        <w:rPr>
          <w:rFonts w:ascii="Times New Roman" w:hAnsi="Times New Roman" w:cs="Times New Roman"/>
          <w:sz w:val="24"/>
          <w:szCs w:val="24"/>
          <w:shd w:val="clear" w:color="auto" w:fill="FFFFFF"/>
          <w:lang w:val="fr-FR"/>
        </w:rPr>
      </w:pPr>
      <w:r>
        <w:rPr>
          <w:rFonts w:ascii="Times New Roman" w:hAnsi="Times New Roman" w:cs="Times New Roman"/>
          <w:sz w:val="24"/>
          <w:szCs w:val="24"/>
          <w:shd w:val="clear" w:color="auto" w:fill="FFFFFF"/>
        </w:rPr>
        <w:t xml:space="preserve">Since pain is a subjective experience, it is important to tailor patients' responses to it for the best possible results. </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{"citationItems":[{"id":"ITEM-1","itemData":{"DOI":"10.1155/2019/9091467","ISSN":"2090-1429","abstract":" Background. Postoperative pain remains one of the greatest concerns for patients following surgical procedures. Nurses play an essential role in postoperative pain assessment and management, especially within the first few days after surgery. Objective. The study investigated how nurses in a resource-constraint hospital in Ghana assessed and managed postoperative pain. Methods. This was an explorative qualitative study involving 12 registered nurses practising in the largest referral hospital in Ghana. Data was gathered using a semistructured interview guide. Demographic characteristics of participants were summarized using descriptive statistics. Data were analysed using Kvale’s three phases for analysing qualitative data. First, the entire text was read again to identify meaning units which were then condensed. Second, the condensed texts were read again and interpreted. Finally, the condensed data containing similar meaning were coded and then sorted into subthemes. Results. It was found that some nurses have never used any pain assessment tool due to lack of standard tool for assessing postoperative pain. The majority of nurses reported that managing pain by using medication was the norm especially in the first 24 hours after surgery. Conclusion. Although participants may have some knowledge of assessing and managing postoperative pain, this knowledge was not largely used to manage postoperative pain effectively, partly because of resource constraints. Therefore, there is the need for adequate training and with provision of resources, it is imperative that the use of standardized pain assessment scales could help in the proper assessment and management of postoperative pain in this setting. ","author":[{"dropping-particle":"","family":"Mahama","given":"Faisal","non-dropping-particle":"","parse-names":false,"suffix":""},{"dropping-particle":"","family":"Ninnoni","given":"Jerry P. K.","non-dropping-particle":"","parse-names":false,"suffix":""}],"container-title":"Nursing Research and Practice","id":"ITEM-1","issued":{"date-parts":[["2019"]]},"page":"1-7","title":"Assessment and Management of Postoperative Pain among Nurses at a Resource-Constraint Teaching Hospital in Ghana","type":"article-journal","volume":"2019"},"uris":["http://www.mendeley.com/documents/?uuid=913ba63c-f6cb-436f-815a-cfce17096014"]}],"mendeley":{"formattedCitation":"(Mahama &amp; Ninnoni, 2019)","plainTextFormattedCitation":"(Mahama &amp; Ninnoni, 2019)","previouslyFormattedCitation":"(Mahama &amp; Ninnoni, 2019)"},"properties":{"noteIndex":0},"schema":"https://github.com/citation-style-language/schema/raw/master/csl-citation.json"}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(Mahama &amp; Ninnoni, 2019)</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w:t>
      </w:r>
      <w:r>
        <w:rPr>
          <w:rFonts w:ascii="Times New Roman" w:hAnsi="Times New Roman" w:cs="Times New Roman"/>
          <w:sz w:val="24"/>
          <w:szCs w:val="24"/>
          <w:shd w:val="clear" w:color="auto" w:fill="FFFFFF"/>
        </w:rPr>
        <w:t xml:space="preserve"> The core and fundamental components of managing the complex experience are established by the concepts connected to post-operative pain assessment and management. Regular assessments of pain severity and the impact of interventions are the nurse's job throughout post-operative pain management.</w:t>
      </w:r>
      <w:r>
        <w:rPr>
          <w:rFonts w:ascii="Times New Roman" w:hAnsi="Times New Roman" w:cs="Times New Roman"/>
          <w:sz w:val="24"/>
          <w:szCs w:val="24"/>
          <w:shd w:val="clear" w:color="auto" w:fill="FFFFFF"/>
        </w:rPr>
        <w:fldChar w:fldCharType="begin" w:fldLock="1"/>
      </w:r>
      <w:r>
        <w:rPr>
          <w:rFonts w:ascii="Times New Roman" w:hAnsi="Times New Roman" w:cs="Times New Roman"/>
          <w:sz w:val="24"/>
          <w:szCs w:val="24"/>
          <w:shd w:val="clear" w:color="auto" w:fill="FFFFFF"/>
        </w:rPr>
        <w:instrText xml:space="preserve">ADDIN CSL_CITATION {"citationItems":[{"id":"ITEM-1","itemData":{"DOI":"10.15761/bhc.1000148","ISBN":"3026103691","author":[{"dropping-particle":"","family":"N","given":"Bakalis","non-dropping-particle":"","parse-names":false,"suffix":""},{"dropping-particle":"","family":"G","given":"Vescio","non-dropping-particle":"","parse-names":false,"suffix":""},{"dropping-particle":"","family":"M","given":"Chounti","non-dropping-particle":"","parse-names":false,"suffix":""},{"dropping-particle":"","family":"E","given":"Michalopoulou","non-dropping-particle":"","parse-names":false,"suffix":""},{"dropping-particle":"","family":"P","given":"Kiekkas","non-dropping-particle":"","parse-names":false,"suffix":""},{"dropping-particle":"","family":"A","given":"Rizzuto","non-dropping-particle":"","parse-names":false,"suffix":""},{"dropping-particle":"","family":"M","given":"Papandrea","non-dropping-particle":"","parse-names":false,"suffix":""},{"dropping-particle":"","family":"G","given":"Sena","non-dropping-particle":"","parse-names":false,"suffix":""},{"dropping-particle":"","family":"A","given":"Barberio","non-dropping-particle":"","parse-names"</w:instrText>
      </w:r>
      <w:r>
        <w:rPr>
          <w:rFonts w:ascii="Times New Roman" w:hAnsi="Times New Roman" w:cs="Times New Roman"/>
          <w:sz w:val="24"/>
          <w:szCs w:val="24"/>
          <w:shd w:val="clear" w:color="auto" w:fill="FFFFFF"/>
          <w:lang w:val="fr-FR"/>
        </w:rPr>
        <w:instrText xml:space="preserve">:false,"suffix":""},{"dropping-particle":"","family":"V","given":"Tiesi","non-dropping-particle":"","parse-names":false,"suffix":""},{"dropping-particle":"","family":"D","given":"Gambardella","non-dropping-particle":"","parse-names":false,"suffix":""},{"dropping-particle":"","family":"G","given":"Gallo","non-dropping-particle":"","parse-names":false,"suffix":""},{"dropping-particle":"","family":"G","given":"Curro","non-dropping-particle":"","parse-names":false,"suffix":""},{"dropping-particle":"","family":"M","given":"Ammendola","non-dropping-particle":"","parse-names":false,"suffix":""},{"dropping-particle":"","family":"S","given":"De Franciscis","non-dropping-particle":"","parse-names":false,"suffix":""},{"dropping-particle":"","family":"N","given":"Filiotis","non-dropping-particle":"","parse-names":false,"suffix":""}],"container-title":"Blood, Heart and Circulation","id":"ITEM-1","issue":"4","issued":{"date-parts":[["2018"]]},"page":"1-7","title":"Nursing assessment of post-operative pain in patients undergoing general (thoracic) surgery","type":"article-journal","volume":"2"},"uris":["http://www.mendeley.com/documents/?uuid=34075ce9-2c83-4ecf-b4d2-7c49249c82f7"]}],"mendeley":{"formattedCitation":"(N et al., 2018)","manualFormatting":"(Bakalis et al., 2018)","plainTextFormattedCitation":"(N et al., 2018)","previouslyFormattedCitation":"(N et al., 2018)"},"properties":{"noteIndex":0},"schema":"https://github.com/citation-style-language/schema/raw/master/csl-citation.json"}</w:instrText>
      </w:r>
      <w:r>
        <w:rPr>
          <w:rFonts w:ascii="Times New Roman" w:hAnsi="Times New Roman" w:cs="Times New Roman"/>
          <w:sz w:val="24"/>
          <w:szCs w:val="24"/>
          <w:shd w:val="clear" w:color="auto" w:fill="FFFFFF"/>
        </w:rPr>
        <w:fldChar w:fldCharType="separate"/>
      </w:r>
      <w:r>
        <w:rPr>
          <w:rFonts w:ascii="Times New Roman" w:hAnsi="Times New Roman" w:cs="Times New Roman"/>
          <w:sz w:val="24"/>
          <w:szCs w:val="24"/>
          <w:shd w:val="clear" w:color="auto" w:fill="FFFFFF"/>
          <w:lang w:val="fr-FR"/>
        </w:rPr>
        <w:t>(Bakalis et al., 2018</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lang w:val="fr-FR"/>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lang w:val="fr-FR"/>
        </w:rPr>
        <w:instrText xml:space="preserve">ADDIN CSL_CITATION {"citationItems":[{"id":"ITEM-1","itemData":{"DOI":"10.1136/qshc.2004.010330","ISSN":"14753898","PMID":"16195565","abstract":"Problem: There is a need to improve postoperative pain organisation and management in hospitals. One of the most important factors in achieving this is to improve active assessment of pain in the postoperative phase. Design: Repeated audits on an annual basis over a 3 year period. Ward nurses, appointed as \"pain control representatives\", performed the data collection. Setting: Departments of general surgery and orthopaedics in a university hospital with 1200 beds. Key measure for improvement: Assessment of postoperative pain intensity using a numerical rating scale. Strategies for change: On the basis of the first audit in 1999 the team decided to introduce a mandatory training programme in postoperative pain management for all involved staff, including surgeons and ward nurses. Guidelines for postoperative care were upgraded and made accessible through the intranet. Regular staff meetings in the surgical wards with representatives from the acute pain service team were introduced. Effects of change: The assessment of pain according to protocols increased from 71% to 91% in the surgical wards and from 60% to 88% in the orthopaedic wards between 1999 and 2001/2. Lessons learnt: To increase the awareness of pain and improve pain assessment, the importance of mandatory training, regular staff meetings and regular audits must be emphasised. It is also imperative to give feedback on the regular audits to the ward and staff members involved.","author":[{"dropping-particle":"","family":"Karlsten","given":"R.","non-dropping-particle":"","parse-names":false,"suffix":""},{"dropping-particle":"","family":"Ström","given":"K.","non-dropping-particle":"","parse-names":false,"suffix":""},{"dropping-particle":"","family":"Gunningberg","given":"L.","non-dropping-particle":"","parse-names":false,"suffix":""}],"container-title":"Quality and Safety in Health Care","id":"ITEM-1","issue":"5","issued":{"date-parts":[["2005"]]},"page":"332-335","title":"Improving assessment of postoperative pain in surgical wards by education and training","type":"article-journal","volume":"14"},"uris":["http://www.mendeley.com/documents/?uuid=28c78536-e8f3-46a2-af46-26e0e5d842a5"]}],"mendeley":{"formattedCitation":"(Karlsten et al., 2005)","plainTextFormattedCitation":"(Karlsten et al., 2005)","previouslyFormattedCitation":"(Karlsten et al., 2005)"},"properties":{"noteIndex":0},"schema":"https://github.com/citation-style-language/schema/raw/master/csl-citation.json"}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lang w:val="fr-FR"/>
        </w:rPr>
        <w:t>&amp; Karlsten et al., 2005)</w:t>
      </w:r>
      <w:r>
        <w:rPr>
          <w:rFonts w:ascii="Times New Roman" w:hAnsi="Times New Roman" w:cs="Times New Roman"/>
          <w:sz w:val="24"/>
          <w:szCs w:val="24"/>
        </w:rPr>
        <w:fldChar w:fldCharType="end"/>
      </w:r>
      <w:r>
        <w:rPr>
          <w:rFonts w:ascii="Times New Roman" w:hAnsi="Times New Roman" w:cs="Times New Roman"/>
          <w:sz w:val="24"/>
          <w:szCs w:val="24"/>
          <w:shd w:val="clear" w:color="auto" w:fill="FFFFFF"/>
          <w:lang w:val="fr-FR"/>
        </w:rPr>
        <w:t>.</w:t>
      </w:r>
    </w:p>
    <w:p>
      <w:pPr>
        <w:autoSpaceDE w:val="0"/>
        <w:autoSpaceDN w:val="0"/>
        <w:adjustRightInd w:val="0"/>
        <w:spacing w:before="100" w:beforeAutospacing="1" w:after="100" w:afterAutospacing="1" w:line="480" w:lineRule="auto"/>
        <w:ind w:firstLine="720"/>
        <w:jc w:val="both"/>
        <w:rPr>
          <w:rFonts w:ascii="Times New Roman" w:hAnsi="Times New Roman" w:cs="Times New Roman"/>
          <w:bCs/>
          <w:sz w:val="24"/>
          <w:szCs w:val="24"/>
        </w:rPr>
      </w:pPr>
      <w:r>
        <w:rPr>
          <w:rFonts w:ascii="Times New Roman" w:hAnsi="Times New Roman" w:cs="Times New Roman"/>
          <w:sz w:val="24"/>
          <w:szCs w:val="24"/>
          <w:shd w:val="clear" w:color="auto" w:fill="FFFFFF"/>
          <w:lang w:val="fr-FR"/>
        </w:rPr>
        <w:t>Inline, pain is evaluated when the subject is at rest and while moving, whilst vital signs, verbalization, and body language are crucial in the assessment of pain</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lang w:val="fr-FR"/>
        </w:rPr>
        <w:instrText xml:space="preserve">ADDIN CSL_CITATION {"citationItems":[{"id":"ITEM-1","itemData":{"DOI":"10.1155/2019/9091467","ISSN":"2090-1429","abstract":" Background. Postoperative pain remains one of the greatest concerns for patients following surgical procedures. Nurses play an essential role in postoperative pain assessment and management, especially within the first few days after surgery. Objective. The study investigated how nurses in a resource-constraint hospital in Ghana assessed and managed postoperative pain. Methods. This was an explorative qualitative study involving 12 registered nurses practising in the largest referral hospital in Ghana. Data was gathered using a semistructured interview guide. Demographic characteristics of participants were summarized using descriptive statistics. Data were analysed using Kvale’s three phases for analysing qualitative data. First, the entire text was read again to identify meaning units which were then condensed. Second, the condensed texts were read again and interpreted. Finally, the condensed data containing similar meaning were coded and then sorted into subthemes. Results. It was found that some nurses have never used any pain assessment tool due to lack of standard tool for assessing postoperative pain. The majority of nurses reported that managing pain by using medication was the norm especially in the first 24 hours after surgery. Conclusion. Although participants may have some knowledge of assessing and managing postoperative pain, this knowledge was not largely used to manage postoperative pain effectively, partly because of resource constraints. Therefore, there is the need for adequate training and with provision of resources, it is imperative that the use of standardized pain assessment scales could help in the proper assessment and management of postoperative pain in this setting. ","author":[{"dropping-particle":"","family":"Mahama","given":"Faisal","non-dropping-particle":"","parse-names":false,"suffix":""},{"dropping-particle":"","family":"Ninnoni","given":"Jerry P. K.","non-dropping-particle":"","parse-names":false,"suffix":""}],"container-title":"Nursing Research and Practice","id":"ITEM-1","issued":{"date-parts":[["2019"]]},"page":"1-7","title":"Assessment and Management of Postoperative Pain among Nurses at a Resource-Constraint Teaching Hospital in Ghana","type":"article-journal","volume":"2019"},"uris":["http://www.mendeley.com/documents/?uuid=913ba63c-f6cb-436f-815a-cfce17096014"]}],"mendeley":{"formattedCitation":"(Mahama &amp; Ninnoni, 2019)","plainTextFormattedCitation":"(Mahama &amp; Ninnoni, 2019)","previouslyFormattedCitation":"(Mahama &amp; Ninnoni, 2019)"},"properties":{"noteIndex":0},"schema":"https://github.com/citation-style-language/schema/raw/master/csl-citation.json"}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lang w:val="fr-FR"/>
        </w:rPr>
        <w:t>(Mahama &amp; Ninnoni, 2019)</w:t>
      </w:r>
      <w:r>
        <w:rPr>
          <w:rFonts w:ascii="Times New Roman" w:hAnsi="Times New Roman" w:cs="Times New Roman"/>
          <w:bCs/>
          <w:sz w:val="24"/>
          <w:szCs w:val="24"/>
          <w:shd w:val="clear" w:color="auto" w:fill="FFFFFF"/>
        </w:rPr>
        <w:fldChar w:fldCharType="end"/>
      </w:r>
      <w:r>
        <w:rPr>
          <w:rFonts w:ascii="Times New Roman" w:hAnsi="Times New Roman" w:cs="Times New Roman"/>
          <w:sz w:val="24"/>
          <w:szCs w:val="24"/>
          <w:shd w:val="clear" w:color="auto" w:fill="FFFFFF"/>
          <w:lang w:val="fr-FR"/>
        </w:rPr>
        <w:t xml:space="preserve">. </w:t>
      </w:r>
      <w:r>
        <w:rPr>
          <w:rFonts w:ascii="Times New Roman" w:hAnsi="Times New Roman" w:cs="Times New Roman"/>
          <w:sz w:val="24"/>
          <w:szCs w:val="24"/>
          <w:shd w:val="clear" w:color="auto" w:fill="FFFFFF"/>
        </w:rPr>
        <w:t>Examining nurses' post-operative pain management knowledge, attitudes, and practices is therefore crucial to building the groundwork for better management strategies, assuring patient comfort, and completely improving nursing practice.</w:t>
      </w:r>
      <w:r>
        <w:rPr>
          <w:rFonts w:ascii="Times New Roman" w:hAnsi="Times New Roman" w:cs="Times New Roman"/>
          <w:sz w:val="24"/>
          <w:szCs w:val="24"/>
        </w:rPr>
        <w:t xml:space="preserve"> According to Masigati &amp; Chilonga (2014) assessing pain entails identifying a variety of aspects of pain, including its type, its intensity, and how long it lasts. The institutions should arrange trainings and workshops on post-operative pain management for staff nurses to improve pain evaluation and management.</w:t>
      </w:r>
    </w:p>
    <w:p>
      <w:pPr>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sz w:val="24"/>
          <w:szCs w:val="24"/>
        </w:rPr>
        <w:t>Routinely, in the first 24hours, pain is managed by giving opioids such as morphine or pethidine injections every 6 to 8 hours respectively. Consequently, non-steroidal anti-inflammatory medications, such as ibuprofen 400mg, diclofenac 75mg 8hourly and non-pharmacological measures like physical exercises such as ambulation, listening to music, imaginary, positioning in bed post-operatively, distraction method and massaging are introduced. Because of its quick start of action and ability to greatly provide extra sparing opioid impact, intravenous paracetamol is commonly utilized in the management of post-operative pain (Mahama &amp; Ninnoni, 2019; Kiswezi, Masiira &amp; Mugisa, 2014; Chatchumni, 2016). Despite all of the aforementioned steps, it was never stated that pain evaluation was a part of management.</w:t>
      </w:r>
    </w:p>
    <w:p>
      <w:pPr>
        <w:spacing w:before="100" w:beforeAutospacing="1" w:after="100" w:afterAutospacing="1" w:line="480" w:lineRule="auto"/>
        <w:ind w:firstLine="720"/>
        <w:jc w:val="both"/>
        <w:rPr>
          <w:rFonts w:ascii="Times New Roman" w:hAnsi="Times New Roman" w:cs="Times New Roman"/>
          <w:bCs/>
          <w:sz w:val="24"/>
          <w:szCs w:val="24"/>
        </w:rPr>
      </w:pPr>
      <w:r>
        <w:rPr>
          <w:rFonts w:ascii="Times New Roman" w:hAnsi="Times New Roman" w:cs="Times New Roman"/>
          <w:sz w:val="24"/>
          <w:szCs w:val="24"/>
        </w:rPr>
        <w:t xml:space="preserve">The World Health Organization (2018) and the American Pain Society propose using a step ladder to treat post-operative pain, with the pain evaluation scale serving as a reference. The doctors' post-operative pain medication is tapered (start with the strongest painkillers, then reduce to mild ones till patient discharge): usually on the first day post operatively they begin with strong opioids in injectable form to kill the acute pain thus offering a rapid relief. Then on the second day post operatively (48hr) the doctors prescribe non-opioid, multimodal analgesics, and adjuvants </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{"citationItems":[{"id":"ITEM-1","itemData":{"DOI":"10.1155/2019/9091467","ISSN":"2090-1429","abstract":" Background. Postoperative pain remains one of the greatest concerns for patients following surgical procedures. Nurses play an essential role in postoperative pain assessment and management, especially within the first few days after surgery. Objective. The study investigated how nurses in a resource-constraint hospital in Ghana assessed and managed postoperative pain. Methods. This was an explorative qualitative study involving 12 registered nurses practising in the largest referral hospital in Ghana. Data was gathered using a semistructured interview guide. Demographic characteristics of participants were summarized using descriptive statistics. Data were analysed using Kvale’s three phases for analysing qualitative data. First, the entire text was read again to identify meaning units which were then condensed. Second, the condensed texts were read again and interpreted. Finally, the condensed data containing similar meaning were coded and then sorted into subthemes. Results. It was found that some nurses have never used any pain assessment tool due to lack of standard tool for assessing postoperative pain. The majority of nurses reported that managing pain by using medication was the norm especially in the first 24 hours after surgery. Conclusion. Although participants may have some knowledge of assessing and managing postoperative pain, this knowledge was not largely used to manage postoperative pain effectively, partly because of resource constraints. Therefore, there is the need for adequate training and with provision of resources, it is imperative that the use of standardized pain assessment scales could help in the proper assessment and management of postoperative pain in this setting. ","author":[{"dropping-particle":"","family":"Mahama","given":"Faisal","non-dropping-particle":"","parse-names":false,"suffix":""},{"dropping-particle":"","family":"Ninnoni","given":"Jerry P. K.","non-dropping-particle":"","parse-names":false,"suffix":""}],"container-title":"Nursing Research and Practice","id":"ITEM-1","issued":{"date-parts":[["2019"]]},"page":"1-7","title":"Assessment and Management of Postoperative Pain among Nurses at a Resource-Constraint Teaching Hospital in Ghana","type":"article-journal","volume":"2019"},"uris":["http://www.mendeley.com/documents/?uuid=913ba63c-f6cb-436f-815a-cfce17096014"]}],"mendeley":{"formattedCitation":"(Mahama &amp; Ninnoni, 2019)","plainTextFormattedCitation":"(Mahama &amp; Ninnoni, 2019)","previouslyFormattedCitation":"(Mahama &amp; Ninnoni, 2019)"},"properties":{"noteIndex":0},"schema":"https://github.com/citation-style-language/schema/raw/master/csl-citation.json"}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(Mahama &amp; Ninnoni, 2019</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 </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{"citationItems":[{"id":"ITEM-1","itemData":{"ISBN":"9789174852721","abstract":"Patients’ recovery after surgery is one of the most important health processes in planned hospital healthcare and has a direct impact on welfare and welfare systems. Therefore, what nurses do in the im- mediate postoperative period is of vital importance.","author":[{"dropping-particle":"","family":"Chatchumni","given":"Manaporn","non-dropping-particle":"","parse-names":false,"suffix":""}],"container-title":"current situation and challenges within nursingpractice in the Thai context(Doctoral dissertition malardalen University","id":"ITEM-1","issue":"204","issued":{"date-parts":[["2016"]]},"title":"Post-Operative Pain Management Practice","type":"book"},"uris":["http://www.mendeley.com/documents/?uuid=76acb751-3803-4a58-9214-b6781237e8d5"]}],"mendeley":{"formattedCitation":"(Chatchumni, 2016)","plainTextFormattedCitation":"(Chatchumni, 2016)","previouslyFormattedCitation":"(Chatchumni, 2016)"},"properties":{"noteIndex":0},"schema":"https://github.com/citation-style-language/schema/raw/master/csl-citation.json"}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Chatchumni, 2016)</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w:t>
      </w:r>
    </w:p>
    <w:p>
      <w:pPr>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Surprisingly,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{"citationItems":[{"id":"ITEM-1","iteused or"ISSN":"17915201","abstract":"Background: At the postoperative period, postoperative pain one of the most important patient complains is an acute pain starting with surgical trauma, lessening gradually and ending by the tissue recovery. The essential aim in nursing care of postoperative pain is to do patient assessment with nursing approachess. Furthermore pharmacologic and non-pharmacologic nursing interventions that included individual plan are to implementation and evaluation. Purpose: The purpose of this literature review which non-pharmacological methods can be used by nurses to cope with post-operative pain in Turkey. Method: The databases of Turkish Medical Index, Google Akademik, YOK Thesis Search, Pubmed, Google Scholar, EBSCO Host, Web of Science were scanned to reach the studies. It was determined that 35 studies were in conformity with the inclusion criteria. Findings: In postoperative pain control, nonpharmacologic pain control methods can be used to increase the effect of analgesics, in case of insufficient effect of analgesics, or when analgesics cannot be used. Among nonpharmacologic postoperative pain control methods, transcutaneous nerve stimulation, application of hot and/or cold compresses, relaxation exercises, music therapy, massage, reflexology, aromatherapy rarely used in postoperative pain control but hypnosis, reiki, yoga and acupuncture can not be implemented by nurses in Turkey. Conclusion: It is seen that majority of the studies conducted on nonpharmacologic methods in Turkey were masters or doctoral theses. These methods can not be performed by nurses working at the hospitals in Turkey. The reasons non-pharmacological methods were practiced less frequently by nurses were insufficient number of nurses, patients' reluctance about pain control, lack of time, and lack of information about pain control. In accordance with these results it is recommended to give more space for teaching the non-pharmacological methods that can be applied for pain management and legal regulations can be improved.","author":[{"dropping-particle":"","family":"Şimşek Yaban","given":"Züleyha","non-dropping-particle":"","parse-names":false,"suffix":""}],"container-title":"International Journal of Caring Sciences","id":"ITEM-1","issue":"1","issued":{"date-parts":[["2019"]]},"page":"529-541","title":"Usage of Non-Pharmacologic Methods on Postoperative Pain Management by Nurses: Sample of Turkey","type":"article-journal","volume":"12"},"uris":["http://www.mendeley.com/documents/?uuid=c8a1fee6-09ad-4323-ac98-b893366dc05d"]}],"mendeley":{"formattedCitation":"(Şimşek Yaban, 2019)","manualFormatting":"Şimşek Yaban (2019)","plainTextFormattedCitation":"(Şimşek Yaban, 2019)","previouslyFormattedCitation":"(Şimşek Yaban,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Şimşek Yaban (2019)</w:t>
      </w:r>
      <w:r>
        <w:rPr>
          <w:rFonts w:ascii="Times New Roman" w:hAnsi="Times New Roman" w:cs="Times New Roman"/>
          <w:sz w:val="24"/>
          <w:szCs w:val="24"/>
        </w:rPr>
        <w:fldChar w:fldCharType="end"/>
      </w:r>
      <w:r>
        <w:rPr>
          <w:rFonts w:ascii="Times New Roman" w:hAnsi="Times New Roman" w:cs="Times New Roman"/>
          <w:sz w:val="24"/>
          <w:szCs w:val="24"/>
        </w:rPr>
        <w:t xml:space="preserve"> in his study to review the work </w:t>
      </w:r>
      <w:r>
        <w:rPr>
          <w:rFonts w:ascii="Times New Roman" w:hAnsi="Times New Roman" w:cs="Times New Roman"/>
          <w:sz w:val="24"/>
          <w:szCs w:val="24"/>
          <w:shd w:val="clear" w:color="auto" w:fill="FFFFFF"/>
        </w:rPr>
        <w:t>post-operative pain management done by nurses in Turkey, found something nurses either haven't used at all or have used sparingly pharmacological methods  in  pain  management, and generally relied on physicians analgesic control in post-operative pain management where drugs are prioritized, unwilling to use non pharmacological measures being that they lack knowledge  about their application. Concurrently, patients are not given necessary information about post-operative pain control resulting in several patients thinking that postoperative pain is a   natural consequence of surgery. This has progressed to the point that extreme pain that prevents patients from falling asleep is no longer reported. Based on the above information, it’s wise to introduce a pain assessment scale to the post-operative nursing care thus improved pain control.</w:t>
      </w:r>
    </w:p>
    <w:p>
      <w:pPr>
        <w:spacing w:before="100" w:beforeAutospacing="1" w:after="100" w:afterAutospacing="1" w:line="480" w:lineRule="auto"/>
        <w:ind w:firstLine="720"/>
        <w:jc w:val="both"/>
        <w:textAlignment w:val="baseline"/>
        <w:rPr>
          <w:rFonts w:ascii="Times New Roman" w:hAnsi="Times New Roman" w:eastAsia="Times New Roman" w:cs="Times New Roman"/>
          <w:sz w:val="24"/>
          <w:szCs w:val="24"/>
        </w:rPr>
      </w:pPr>
      <w:r>
        <w:rPr>
          <w:rFonts w:ascii="Times New Roman" w:hAnsi="Times New Roman" w:cs="Times New Roman"/>
          <w:bCs/>
          <w:sz w:val="24"/>
          <w:szCs w:val="24"/>
        </w:rPr>
        <w:t>Barbara and Smith (2018) looked at 30 patients to assess post-operative pain after thoracic surgery and the relationship with demographic data as well as other parameters.</w:t>
      </w:r>
      <w:r>
        <w:rPr>
          <w:rFonts w:ascii="Times New Roman" w:hAnsi="Times New Roman" w:cs="Times New Roman"/>
          <w:sz w:val="24"/>
          <w:szCs w:val="24"/>
          <w:shd w:val="clear" w:color="auto" w:fill="FFFFFF"/>
        </w:rPr>
        <w:t xml:space="preserve"> They discovered that the advancement of the patient's pain relies on the recovery days following surgery (a drop was noted on the fifth and sixth day), as it showed a progressive reduction up to the day the patient was discharged.</w:t>
      </w:r>
      <w:r>
        <w:rPr>
          <w:rFonts w:ascii="Times New Roman" w:hAnsi="Times New Roman" w:eastAsia="Times New Roman" w:cs="Times New Roman"/>
          <w:sz w:val="24"/>
          <w:szCs w:val="24"/>
        </w:rPr>
        <w:t xml:space="preserve"> There was a reported lack of a recognized instrument to gauge post-operative discomfort felt by patients following thoracic surgery. We underline the importance of creating and using a suitable post-operative assessment questionnaire for these patients based on the findings of this study.</w:t>
      </w:r>
    </w:p>
    <w:p>
      <w:pPr>
        <w:shd w:val="clear" w:color="auto" w:fill="FFFFFF"/>
        <w:spacing w:before="100" w:beforeAutospacing="1" w:after="100" w:afterAutospacing="1" w:line="480" w:lineRule="auto"/>
        <w:ind w:firstLine="720"/>
        <w:jc w:val="both"/>
        <w:rPr>
          <w:rFonts w:ascii="Times New Roman" w:hAnsi="Times New Roman" w:eastAsia="Times New Roman" w:cs="Times New Roman"/>
          <w:color w:val="000000"/>
          <w:sz w:val="24"/>
          <w:szCs w:val="24"/>
        </w:rPr>
      </w:pPr>
      <w:r>
        <w:rPr>
          <w:rFonts w:ascii="Times New Roman" w:hAnsi="Times New Roman" w:cs="Times New Roman"/>
          <w:sz w:val="24"/>
          <w:szCs w:val="24"/>
        </w:rPr>
        <w:t>Eriksson (2017) conducted a thesis based on four research to analyze if pain ratings might be used to represent and forecast early physical post-operative recovery and to explain patients' perceptions on pain assessments.</w:t>
      </w:r>
      <w:r>
        <w:rPr>
          <w:rFonts w:ascii="Times New Roman" w:hAnsi="Times New Roman" w:cs="Times New Roman"/>
          <w:sz w:val="24"/>
          <w:szCs w:val="24"/>
          <w:shd w:val="clear" w:color="auto" w:fill="FFFFFF"/>
        </w:rPr>
        <w:t xml:space="preserve"> </w:t>
      </w:r>
      <w:r>
        <w:rPr>
          <w:rFonts w:ascii="Times New Roman" w:hAnsi="Times New Roman" w:eastAsia="Times New Roman" w:cs="Times New Roman"/>
          <w:color w:val="000000"/>
          <w:sz w:val="24"/>
          <w:szCs w:val="24"/>
        </w:rPr>
        <w:t>According to monitoring records, a correlation between moderate to severe pain intensity was discovered, which had an impact on how quickly a patient recovered physically after surgery. It was discovered that the first day's average pain intensity at rest and during activity also had an impact. On the first postoperative day, however, the presence of acute discomfort both at rest and when moving indicated that physical recovery would be affected within 48 hours. Additionally, the introduction of the Numeric Rating Scale (0-10) enhanced communication about pain but presented challenges in terms of interpretation and put a strain on medical staff and care procedures.</w:t>
      </w:r>
    </w:p>
    <w:p>
      <w:pPr>
        <w:shd w:val="clear" w:color="auto" w:fill="FFFFFF"/>
        <w:spacing w:before="100" w:beforeAutospacing="1" w:after="100" w:afterAutospacing="1" w:line="480" w:lineRule="auto"/>
        <w:ind w:firstLine="720"/>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The descriptions of pain that patients have had were hindered by patients’ resources and ward resources for performing pain assessments. The patient applied active and passive strategies to describe pain. In summary, the thesis revealed that pain assessment helps to bridge the communication gap between the patient and the health professionals. Concurrently, environmental factors like the attitude of healthcare professionals affect pain assessments in post operative pain management thus leaving the patients unsatisfied with the care. </w:t>
      </w:r>
      <w:r>
        <w:rPr>
          <w:rFonts w:ascii="Times New Roman" w:hAnsi="Times New Roman" w:cs="Times New Roman"/>
          <w:sz w:val="24"/>
          <w:szCs w:val="24"/>
          <w:shd w:val="clear" w:color="auto" w:fill="FFFFFF"/>
        </w:rPr>
        <w:t>Therefore, the adoption of a standardized pain assessment scale for identifying and effectively managing post-operative pain is supported by suitable training and resource allocation.</w:t>
      </w:r>
      <w:r>
        <w:rPr>
          <w:rFonts w:ascii="Times New Roman" w:hAnsi="Times New Roman" w:eastAsia="Times New Roman" w:cs="Times New Roman"/>
          <w:color w:val="000000"/>
          <w:sz w:val="24"/>
          <w:szCs w:val="24"/>
        </w:rPr>
        <w:t xml:space="preserve"> This necessitates carrying out an interventional study on application of pain assessment scale to post operative pain management.</w:t>
      </w:r>
    </w:p>
    <w:p>
      <w:pPr>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bCs/>
          <w:sz w:val="24"/>
          <w:szCs w:val="24"/>
        </w:rPr>
        <w:t>As part of their investigation of post-operative pain knowledge and attitudes, Kiekkas et al. (2015) evaluated 182 surgical department nurses to find factors that predicted their knowledge and attitudes.</w:t>
      </w:r>
      <w:r>
        <w:rPr>
          <w:rFonts w:ascii="Times New Roman" w:hAnsi="Times New Roman" w:cs="Times New Roman"/>
          <w:sz w:val="24"/>
          <w:szCs w:val="24"/>
        </w:rPr>
        <w:t xml:space="preserve"> The participants' attitudes toward post-operative pain assessment and management were found to be negative. The predictors for this are the mistaken belief that some patients should be evaluated based on objective facts, such as vital signs and sleepiness, and the fact that medical professionals, not patients, determine the severity of pain. In reality pain is subjective and should be individualized. It was revealed that attitudes toward post-operative pain of nurses are far from satisfactory. Negative opinions were found, mostly related to how pain is assessed and how analgesics are used. So, the educational program on using a pain assessment scale to manage post-operative pain may have an effect on nurses' views.</w:t>
      </w:r>
      <w:bookmarkStart w:id="70" w:name="_Toc120852212"/>
      <w:bookmarkStart w:id="71" w:name="_Toc104298407"/>
      <w:bookmarkStart w:id="72" w:name="_Toc104214862"/>
      <w:bookmarkStart w:id="73" w:name="_Toc104214635"/>
    </w:p>
    <w:p>
      <w:pPr>
        <w:spacing w:before="100" w:beforeAutospacing="1" w:after="100" w:afterAutospacing="1" w:line="480" w:lineRule="auto"/>
        <w:ind w:firstLine="720"/>
        <w:jc w:val="both"/>
        <w:rPr>
          <w:rFonts w:ascii="Times New Roman" w:hAnsi="Times New Roman" w:cs="Times New Roman"/>
          <w:bCs/>
        </w:rPr>
      </w:pPr>
      <w:r>
        <w:rPr>
          <w:rFonts w:ascii="Times New Roman" w:hAnsi="Times New Roman" w:cs="Times New Roman"/>
          <w:bCs/>
        </w:rPr>
        <w:fldChar w:fldCharType="begin" w:fldLock="1"/>
      </w:r>
      <w:r>
        <w:rPr>
          <w:rFonts w:ascii="Times New Roman" w:hAnsi="Times New Roman" w:cs="Times New Roman"/>
          <w:bCs/>
        </w:rPr>
        <w:instrText xml:space="preserve">ADDIN CSL_CITATION {"citationItems":[{"id":"ITEM-1","itemData":{"abstract":"Critically ill patients experience moderate to severe acute pain which minimizes their comfort. If inadequately managed, acute pain leads to negative physiological and psychological sequelae including the development of chronic pain syndromes. Optimal pain relief is reliant on nurses’ systematic and consistent assessment, and regular documentation of pain. Research related to nurses’ knowledge and practices regarding pain assessment in the critical care setting remains limited. There has been no study in Uganda about nurses’ knowledge and practices related to pain assessment among critically ill patients. The study was designed to describe nurses’ knowledge, practices and barriers related to pain assessment for critically ill patients at Mulago National Hospital.Methodology: A descriptive cross-sectional study design was employed. Data was collected using a semi- structured questionnaire from a convenient sample of 170 nurses caring for critically ill patients at Mulago Hospital. The study was approved by ethical committees at Muhimbili University of Health and Allied Sciences and Mulago Hospital. Analysis: Data was analyzed using SPSS version 14.0. Results were summarized using frequencies and percentages, and presented using figures, tables and text. Results: Majority (90%) of the participants reported to assess pain among critically ill patients but almost all of them (96%) do not use pain assessment tools. More than three quarters (79.1%) of the participants who assessed for pain documented findings after assessment. Majority of the participants (91.2%) had adequate knowledge. Almost half lacked knowledge on key pain assessment principles ; 43.5% mentioned people other than the patient as the most accurate in rating the pain intensity for the patient, and 44% do not always agreewith patients’ statements about pain. Barriers to pain assessment included; nursing workload (84.1%), lack of availability of assessment tools (74.1%), lack of education on assessment tools (82.4%) , lack of familiarity with tools (78.2%) , lack of protocols and guidelines on pain assessment and management (74.1%), poor documentation of pain assessment andmanagement (77.6%) and poor communication of pain assessment priorities at the unit (74.7%). Conclusion Assessment and documentation of pain is done by majority of nurses. However, assessment tools are minimally used. Nurses had adequate knowledge on pain assessment. However, almost half of them did not know that it is the p…","author":[{"dropping-particle":"","family":"Kizza","given":"Ib","non-dropping-particle":"","parse-names":false,"suffix":""}],"container-title":"Dissertation","id":"ITEM-1","issue":"November","issued":{"date-parts":[["2012"]]},"page":"87","title":"Nurses' Knowledge and Practices Related to Pain Assessment in Critically ill Patients at Mulago Hospital, Uganda","type":"article-journal"},"uris":["http://www.mendeley.com/documents/?uuid=ffc628eb-1e50-4a63-8afd-1a5bd606eb2d"]}],"mendeley":{"formattedCitation":"(Kizza, 2012)","manualFormatting":"Kizza (2012)","plainTextFormattedCitation":"(Kizza, 2012)","previouslyFormattedCitation":"(Kizza, 2012)"},"properties":{"noteIndex":0},"schema":"https://github.com/citation-style-language/schema/raw/master/csl-citation.json"}</w:instrText>
      </w:r>
      <w:r>
        <w:rPr>
          <w:rFonts w:ascii="Times New Roman" w:hAnsi="Times New Roman" w:cs="Times New Roman"/>
          <w:bCs/>
        </w:rPr>
        <w:fldChar w:fldCharType="separate"/>
      </w:r>
      <w:bookmarkStart w:id="74" w:name="_Toc134608276"/>
      <w:bookmarkStart w:id="75" w:name="_Toc134604144"/>
      <w:r>
        <w:rPr>
          <w:rFonts w:ascii="Times New Roman" w:hAnsi="Times New Roman" w:cs="Times New Roman"/>
          <w:bCs/>
        </w:rPr>
        <w:t>Kizza (2012)</w:t>
      </w:r>
      <w:r>
        <w:rPr>
          <w:rFonts w:ascii="Times New Roman" w:hAnsi="Times New Roman" w:cs="Times New Roman"/>
          <w:bCs/>
        </w:rPr>
        <w:fldChar w:fldCharType="end"/>
      </w:r>
      <w:r>
        <w:rPr>
          <w:rFonts w:ascii="Times New Roman" w:hAnsi="Times New Roman" w:cs="Times New Roman"/>
          <w:bCs/>
        </w:rPr>
        <w:t xml:space="preserve"> </w:t>
      </w:r>
      <w:bookmarkStart w:id="76" w:name="_Hlk99783279"/>
      <w:r>
        <w:rPr>
          <w:rFonts w:ascii="Times New Roman" w:hAnsi="Times New Roman" w:cs="Times New Roman"/>
        </w:rPr>
        <w:t xml:space="preserve">conducted a study with 170 nurses to learn about their knowledge, practices, and barriers related to assessing pain in critically sick patients. The results showed that 90% of the participants said they assessed pain in critically ill patients, but 96% said they did not use tools for doing </w:t>
      </w:r>
      <w:bookmarkEnd w:id="76"/>
      <w:r>
        <w:rPr>
          <w:rFonts w:ascii="Times New Roman" w:hAnsi="Times New Roman" w:cs="Times New Roman"/>
        </w:rPr>
        <w:t>so. More than seventy-nine (79.1%) of the participants who had their pain levels tested recorded their findings. Nursing workload was one barrier to assessing pain (84.1%), lack of assessment tools (74.1%), lack of education on assessment tools (82.4%), lack of familiarity with tools (78.2%), lack of protocols and guidelines on pain assessment and management (74.1%), and poor documentation of pain assessment and management (77.6%). The researchers came to the conclusion that although nurses were knowledgeable about pain assessment and management, they lacked the necessary assessment tools and faced other obstacles</w:t>
      </w:r>
      <w:r>
        <w:rPr>
          <w:rFonts w:ascii="Times New Roman" w:hAnsi="Times New Roman" w:cs="Times New Roman"/>
          <w:bCs/>
        </w:rPr>
        <w:fldChar w:fldCharType="begin" w:fldLock="1"/>
      </w:r>
      <w:r>
        <w:rPr>
          <w:rFonts w:ascii="Times New Roman" w:hAnsi="Times New Roman" w:cs="Times New Roman"/>
          <w:bCs/>
        </w:rPr>
        <w:instrText xml:space="preserve">ADDIN CSL_CITATION {"citationItems":[{"id":"ITEM-1","itemData":{"DOI":"10.17665/1676-4285.20155082","ISSN":"16764285","abstract":"Problem: Nursing care requires attention and systematized care in the immediate postoperative period in order to prevent complications. Aim: To characterize the care provided to patients in the immediate postoperative period; to identify the care offered by nurses to patients and correlate the difficulties of nurses in terms of the use of nursing care systematization. Method: This was a cross-sectional study that used a quantitative approach, conducted between May and June 2013 in an Emergency Hospital in Fortaleza, Ceará, Brazil. The sample consisted of 13 nurses working in the post-anaesthetic recovery room. Result: There was a predominance of care directed to the respiratory and cardiovascular system. There was an association between the large number of patients and the non-use of nursing care systematization. Conclusion: Care is not fully offered and nurses have difficulties in using nursing care systematization.","author":[{"dropping-particle":"","family":"Serra","given":"Maria Aparecida Alves de Oliveira","non-dropping-particle":"","parse-names":false,"suffix":""},{"dropping-particle":"","family":"Filho","given":"Francisco Ferreira da Silva","non-dropping-particle":"","parse-names":false,"suffix":""},{"dropping-particle":"","family":"Albuquerque","given":"Andreia de Oliveira","non-dropping-particle":"de","parse-names":false,"suffix":""},{"dropping-particle":"","family":"Santos","given":"Carlos Alberto Andrade","non-dropping-particle":"dos","parse-names":false,"suffix":""},{"dropping-particle":"","family":"Carvalho Junior","given":"José Freire","non-dropping-particle":"de","parse-names":false,"suffix":""},{"dropping-particle":"","family":"e Silva","given":"Roberta de Araújo","non-dropping-particle":"","parse-names":false,"suffix":""}],"container-title":"Online Brazilian Journal of Nursing","id":"ITEM-1","issue":"2","issued":{"date-parts":[["2015"]]},"page":"161-167","title":"Nursing care in the immediate postoperative period: A crosssectional study","type":"article-journal","volume":"14"},"uris":["http://www.mendeley.com/documents/?uuid=50d99395-f831-451b-9bd0-71776e09dd54"]}],"mendeley":{"formattedCitation":"(Serra et al., 2015)","plainTextFormattedCitation":"(Serra et al., 2015)","previouslyFormattedCitation":"(Serra et al., 2015)"},"properties":{"noteIndex":0},"schema":"https://github.com/citation-style-language/schema/raw/master/csl-citation.json"}</w:instrText>
      </w:r>
      <w:r>
        <w:rPr>
          <w:rFonts w:ascii="Times New Roman" w:hAnsi="Times New Roman" w:cs="Times New Roman"/>
          <w:bCs/>
        </w:rPr>
        <w:fldChar w:fldCharType="separate"/>
      </w:r>
      <w:r>
        <w:rPr>
          <w:rFonts w:ascii="Times New Roman" w:hAnsi="Times New Roman" w:cs="Times New Roman"/>
          <w:bCs/>
        </w:rPr>
        <w:t>(Serra et al., 2015)</w:t>
      </w:r>
      <w:r>
        <w:rPr>
          <w:rFonts w:ascii="Times New Roman" w:hAnsi="Times New Roman" w:cs="Times New Roman"/>
          <w:bCs/>
        </w:rPr>
        <w:fldChar w:fldCharType="end"/>
      </w:r>
      <w:r>
        <w:rPr>
          <w:rFonts w:ascii="Times New Roman" w:hAnsi="Times New Roman" w:cs="Times New Roman"/>
          <w:bCs/>
        </w:rPr>
        <w:t>.</w:t>
      </w:r>
      <w:r>
        <w:rPr>
          <w:rFonts w:ascii="Times New Roman" w:hAnsi="Times New Roman" w:cs="Times New Roman"/>
          <w:bCs/>
          <w:color w:val="FF0000"/>
        </w:rPr>
        <w:t xml:space="preserve"> </w:t>
      </w:r>
      <w:r>
        <w:rPr>
          <w:rFonts w:ascii="Times New Roman" w:hAnsi="Times New Roman" w:cs="Times New Roman"/>
        </w:rPr>
        <w:t>Therefore, based on these results, an education intervention on application of a pain assessment to the nurses’ practice would benefit the nurses.</w:t>
      </w:r>
      <w:bookmarkEnd w:id="70"/>
      <w:bookmarkEnd w:id="71"/>
      <w:bookmarkEnd w:id="72"/>
      <w:bookmarkEnd w:id="73"/>
      <w:bookmarkEnd w:id="74"/>
      <w:bookmarkEnd w:id="75"/>
    </w:p>
    <w:p>
      <w:pPr>
        <w:spacing w:before="100" w:beforeAutospacing="1" w:after="100" w:afterAutospacing="1" w:line="480" w:lineRule="auto"/>
        <w:ind w:firstLine="720"/>
        <w:jc w:val="both"/>
        <w:rPr>
          <w:rFonts w:ascii="Times New Roman" w:hAnsi="Times New Roman" w:cs="Times New Roman"/>
          <w:sz w:val="24"/>
          <w:szCs w:val="24"/>
        </w:rPr>
      </w:pP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{"citationItems":[{"id":"ITEM-1","itemData":{"DOI":"10.1186/s12912-016-0136-8","ISSN":"14726955","abstract":"Background: While many studies have addressed various issues with regards to pain management, there is limited knowledge about how nurses assess pain in surgical wards. This study aimed to describe Thai nurses' experiences of pain assessment in a surgical ward. Methods: A cross-sectional explorative study was conducted. Participants were selected through theoretical sampling. Data was collected through interviews with twelve registered nurses working in surgical wards. Qualitative content analysis guided the analysis of the data. Results: Nurses use a double/triple check system, communicated to the healthcare team via records and protocols, and they used their skills and experiences in pain assessment. The results showed that nurses missed the opportunity to include the patients' self-reported pain in their accounts. Though much evidence of pain was collected, this did not seem to benefit the patients. Furthermore, the nurses were not using instruments to measure pain, which illustrates the potential unreliability of professionals who have differing opinions concerning the patients' pain. Conclusions: Thai nurses worked based on a 'patient-evidence' paradigm when assessing patients in pain; this should be shifted to an evidence-based paradigm. Furthermore, by including the patients' self-reported pain in their assessment, nurses would both improve the quality of the pain assessment and empower patients in their pain management. Pain management practices in Thailand should be improved through education, training, supportive innovation, and collegial competence development in order to improve the quality of care in the post-operative field.","author":[{"dropping-particle":"","family":"Chatchumni","given":"Manaporn","non-dropping-particle":"","parse-names":false,"suffix":""},{"dropping-particle":"","family":"Namvongprom","given":"Ampaporn","non-dropping-particle":"","parse-names":false,"suffix":""},{"dropping-particle":"","family":"Eriksson","given":"Henrik","non-dropping-particle":"","parse-names":false,"suffix":""},{"dropping-particle":"","family":"Mazaheri","given":"Monir","non-dropping-particle":"","parse-names":false,"suffix":""}],"container-title":"BMC Nursing","id":"ITEM-1","issue":"1","issued":{"date-parts":[["2016"]]},"page":"1-9","title":"Thai Nurses' experiences of post-operative pain assessment and its' influence on pain management decisions","type":"article-journal","volume":"15"},"uris":["http://www.mendeley.com/documents/?uuid=49deb036-84e8-4698-aa90-528703af996f"]}],"mendeley":{"formattedCitation":"(Chatchumni et al., 2016)","manualFormatting":"Chatchumni, Namvongprom, Ericksson, and Mazaheri (2016)","plainTextFormattedCitation":"(Chatchumni et al., 2016)","previouslyFormattedCitation":"(Chatchumni et al., 2016)"},"properties":{"noteIndex":0},"schema":"https://github.com/citation-style-language/schema/raw/master/csl-citation.json"}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Chatchumni, Namvongprom, Ericksson and Mazaheri, (2016)</w:t>
      </w:r>
      <w:r>
        <w:rPr>
          <w:rFonts w:ascii="Times New Roman" w:hAnsi="Times New Roman" w:cs="Times New Roman"/>
          <w:bCs/>
          <w:sz w:val="24"/>
          <w:szCs w:val="24"/>
        </w:rPr>
        <w:fldChar w:fldCharType="end"/>
      </w:r>
      <w:r>
        <w:rPr>
          <w:rFonts w:ascii="Times New Roman" w:hAnsi="Times New Roman" w:cs="Times New Roman"/>
          <w:sz w:val="24"/>
          <w:szCs w:val="24"/>
        </w:rPr>
        <w:t xml:space="preserve"> conducted an exploratory cross-sectional study using a qualitative methodology to examine nurses' experiences with pain assessment in a surgical unit. Despite the fact that patients' self-reported pain is regarded as the gold standard in pain assessment, it was discovered that nurses did not ask patients to characterize their level of discomfort. In order to understand and meet their requirements and to deliver appropriate management based on the pain assessment process, nurses should involve patients when assessing pain.</w:t>
      </w:r>
    </w:p>
    <w:p>
      <w:pPr>
        <w:spacing w:before="100" w:beforeAutospacing="1" w:after="100" w:afterAutospacing="1" w:line="480" w:lineRule="auto"/>
        <w:ind w:firstLine="720"/>
        <w:jc w:val="both"/>
        <w:rPr>
          <w:rFonts w:ascii="Times New Roman" w:hAnsi="Times New Roman" w:cs="Times New Roman"/>
          <w:sz w:val="24"/>
          <w:szCs w:val="24"/>
          <w:lang w:val="fr-FR"/>
        </w:rPr>
      </w:pPr>
      <w:r>
        <w:rPr>
          <w:rFonts w:ascii="Times New Roman" w:hAnsi="Times New Roman" w:cs="Times New Roman"/>
          <w:sz w:val="24"/>
          <w:szCs w:val="24"/>
        </w:rPr>
        <w:t>The nurses abide mostly on patients’ verbalization and facial expression to assess pain post-operatively. In order to treat pain, nurses address it based on their own clinical experiences rather than by adhering to set standards. The majority of nurses stated that they always treat patients' pain using medications given by the doctor, especially in the first 24 hours following surgery</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{"citationItems":[{"id":"ITEM-1","itemData":{"DOI":"10.1155/2019/9091467","ISSN":"2090-1429","abstract":" Background. Postoperative pain remains one of the greatest concerns for patients following surgical procedures. Nurses play an essential role in postoperative pain assessment and management, especially within the first few days after surgery. Objective. The study investigated how nurses in a resource-constraint hospital in Ghana assessed and managed postoperative pain. Methods. This was an explorative qualitative study involving 12 registered nurses practising in the largest referral hospital in Ghana. Data was gathered using a semistructured interview guide. Demographic characteristics of participants were summarized using descriptive statistics. Data were analysed using Kvale’s three phases for analysing qualitative data. First, the entire text was read again to identify meaning units which were then condensed. Second, the condensed texts were read again and interpreted. Finally, the condensed data containing similar meaning were coded and then sorted into subthemes. Results. It was found that some nurses have never used any pain assessment tool due to lack of standard tool for assessing postoperative pain. The majority o</w:instrText>
      </w:r>
      <w:r>
        <w:rPr>
          <w:rFonts w:ascii="Times New Roman" w:hAnsi="Times New Roman" w:cs="Times New Roman"/>
          <w:bCs/>
          <w:sz w:val="24"/>
          <w:szCs w:val="24"/>
          <w:lang w:val="fr-FR"/>
        </w:rPr>
        <w:instrText xml:space="preserve">f nurses reported that managing pain by using medication was the norm especially in the first 24 hours after surgery. Conclusion. Although participants may have some knowledge of assessing and managing postoperative pain, this knowledge was not largely used to manage postoperative pain effectively, partly because of resource constraints. Therefore, there is the need for adequate training and with provision of resources, it is imperative that the use of standardized pain assessment scales could help in the proper assessment and management of postoperative pain in this setting. ","author":[{"dropping-particle":"","family":"Mahama","given":"Faisal","non-dropping-particle":"","parse-names":false,"suffix":""},{"dropping-particle":"","family":"Ninnoni","given":"Jerry P. K.","non-dropping-particle":"","parse-names":false,"suffix":""}],"container-title":"Nursing Research and Practice","id":"ITEM-1","issued":{"date-parts":[["2019"]]},"page":"1-7","title":"Assessment and Management of Postoperative Pain among Nurses at a Resource-Constraint Teaching Hospital in Ghana","type":"article-journal","volume":"2019"},"uris":["http://www.mendeley.com/documents/?uuid=913ba63c-f6cb-436f-815a-cfce17096014"]}],"mendeley":{"formattedCitation":"(Mahama &amp; Ninnoni, 2019)","plainTextFormattedCitation":"(Mahama &amp; Ninnoni, 2019)","previouslyFormattedCitation":"(Mahama &amp; Ninnoni, 2019)"},"properties":{"noteIndex":0},"schema":"https://github.com/citation-style-language/schema/raw/master/csl-citation.json"}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lang w:val="fr-FR"/>
        </w:rPr>
        <w:t>(Mahama &amp; Ninnoni, 2019</w:t>
      </w:r>
      <w:r>
        <w:rPr>
          <w:rFonts w:ascii="Times New Roman" w:hAnsi="Times New Roman" w:cs="Times New Roman"/>
          <w:bCs/>
          <w:sz w:val="24"/>
          <w:szCs w:val="24"/>
        </w:rPr>
        <w:fldChar w:fldCharType="end"/>
      </w:r>
      <w:r>
        <w:rPr>
          <w:rFonts w:ascii="Times New Roman" w:hAnsi="Times New Roman" w:cs="Times New Roman"/>
          <w:bCs/>
          <w:sz w:val="24"/>
          <w:szCs w:val="24"/>
          <w:lang w:val="fr-FR"/>
        </w:rPr>
        <w:t xml:space="preserve">; </w:t>
      </w:r>
      <w:bookmarkStart w:id="77" w:name="_Hlk99892985"/>
      <w:r>
        <w:rPr>
          <w:rFonts w:ascii="Times New Roman" w:hAnsi="Times New Roman" w:cs="Times New Roman"/>
          <w:bCs/>
          <w:sz w:val="24"/>
          <w:szCs w:val="24"/>
        </w:rPr>
        <w:fldChar w:fldCharType="begin" w:fldLock="1"/>
      </w:r>
      <w:r>
        <w:rPr>
          <w:rFonts w:ascii="Times New Roman" w:hAnsi="Times New Roman" w:cs="Times New Roman"/>
          <w:bCs/>
          <w:sz w:val="24"/>
          <w:szCs w:val="24"/>
          <w:lang w:val="fr-FR"/>
        </w:rPr>
        <w:instrText xml:space="preserve">ADDIN CSL_CITATION {"citationItems":[{"id":"ITEM-1","itemData":{"DOI":"10.1177/2158244020924377","ISSN":"21582440","abstract":"The aim of the study was to investigate surgical patients’ pain experience and the quality of nursing care in managing acute postoperative pain. A descriptive cross-sectional study using a Strategic and Clinical Quality Indicators in Postoperative Pain Management Questionnaire collected data of 247 patients who underwent surgery in the surgical clinics of a state hospital. Data of 141 patients were included in the analysis. The mean scores for the scale items indicated that the quality of care was acceptable or low. The level of postoperative care, nursing interventions, and environmental subscales of the questionnaire were at an acceptable level, but pain management subscales of the questionnaire were low. These results suggest that health care, including measurable, applicable quality indicators, should be planned and evaluated to maintain professional nursing services, to achieve postoperative pain management and to relieve pain.","author":[{"dropping-particle":"","family":"Köse Tamer","given":"Laika","non-dropping-particle":"","parse-names":false,"suffix":""},{"dropping-particle":"","family":"Sucu Dağ","given":"Gülten","non-dropping-particle":"","parse-names":false,"suffix":""}],"container-title":"SAGE Open","id":"ITEM-1","issue":"2","issued":{"date-parts":[["2020"]]},"title":"The Assessment of Pain and the Quality of Postoperative Pain Management in Surgical Patients","type":"article-journal","volume":"10"},"uris":["http://www.mendeley.com/documents/?uuid=c13e2329-77dd-4ebb-af40-7472ac047451"]}],"mendeley":{"formattedCitation":"(Köse Tamer &amp; Sucu Dağ, 2020)","plainTextFormattedCitation":"(Köse Tamer &amp; Sucu Dağ, 2020)","previouslyFormattedCitation":"(Köse Tamer &amp; Sucu Dağ, 2020)"},"properties":{"noteIndex":0},"schema":"https://github.com/citation-style-language/schema/raw/master/csl-citation.json"}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lang w:val="fr-FR"/>
        </w:rPr>
        <w:t>Köse Tamer &amp; Sucu Dağ, 2020)</w:t>
      </w:r>
      <w:r>
        <w:rPr>
          <w:rFonts w:ascii="Times New Roman" w:hAnsi="Times New Roman" w:cs="Times New Roman"/>
          <w:bCs/>
          <w:sz w:val="24"/>
          <w:szCs w:val="24"/>
        </w:rPr>
        <w:fldChar w:fldCharType="end"/>
      </w:r>
      <w:bookmarkEnd w:id="77"/>
      <w:r>
        <w:rPr>
          <w:rFonts w:ascii="Times New Roman" w:hAnsi="Times New Roman" w:cs="Times New Roman"/>
          <w:bCs/>
          <w:sz w:val="24"/>
          <w:szCs w:val="24"/>
          <w:lang w:val="fr-FR"/>
        </w:rPr>
        <w:t xml:space="preserve">. </w:t>
      </w:r>
      <w:r>
        <w:rPr>
          <w:rFonts w:ascii="Times New Roman" w:hAnsi="Times New Roman" w:cs="Times New Roman"/>
          <w:sz w:val="24"/>
          <w:szCs w:val="24"/>
          <w:lang w:val="fr-FR"/>
        </w:rPr>
        <w:t>Researchers came to the conclusion that nurses' descriptions of post-opérative pain évaluation and treatment showed that post-operative pain assessments were inaccurate, leading to poor post-operative pain management.</w:t>
      </w:r>
    </w:p>
    <w:p>
      <w:pPr>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{"citationItems":[{"id":"ITEM-1","itemData":{"DOI":"10.1177/2158244020924377","ISSN":"21582440","abstract":"The aim of the study was to investigate surgical patients’ pain experience and the quality of nursing care in managing acute postoperative pain. A descriptive cross-sectional study using a Strategic and Clinical Quality Indicators in Postoperative Pain Management Questionnaire collected data of 247 patients who underwent surgery in the surgical clinics of a state hospital. Data of 141 patients were included in the analysis. The mean scores for the scale items indicated that the quality of care was acceptable or low. The level of postoperative care, nursing interventions, and environmental subscales of the questionnaire were at an acceptable level, but pain management subscales of the questionnaire were low. These results suggest that health care, including measurable, applicable quality indicators, should be planned and evaluated to maintain professional nursing services, to achieve postoperative pain management and to relieve pain.","author":[{"dropping-particle":"","family":"Köse Tamer","given":"Laika","non-dropping-particle":"","parse-names":false,"suffix":""},{"dropping-particle":"","family":"Sucu Dağ","given":"Gülten","non-dropping-particle":"","parse-names":false,"suffix":""}],"container-title":"SAGE Open","id":"ITEM-1","issue":"2","issued":{"date-parts":[["2020"]]},"title":"The Assessment of Pain and the Quality of Postoperative Pain Management in Surgical Patients","type":"article-journal","volume":"10"},"uris":["http://www.mendeley.com/documents/?uuid=c13e2329-77dd-4ebb-af40-7472ac047451"]}],"mendeley":{"formattedCitation":"(Köse Tamer &amp; Sucu Dağ, 2020)","manualFormatting":"Köse Tamer and Sucu Dağ (2020)","plainTextFormattedCitation":"(Köse Tamer &amp; Sucu Dağ, 2020)","previouslyFormattedCitation":"(Köse Tamer &amp; Sucu Dağ, 2020)"},"properties":{"noteIndex":0},"schema":"https://github.com/citation-style-language/schema/raw/master/csl-citation.json"}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Köse Tamer and Sucu Dağ, (2020)</w:t>
      </w:r>
      <w:r>
        <w:rPr>
          <w:rFonts w:ascii="Times New Roman" w:hAnsi="Times New Roman" w:cs="Times New Roman"/>
          <w:bCs/>
          <w:sz w:val="24"/>
          <w:szCs w:val="24"/>
        </w:rPr>
        <w:fldChar w:fldCharType="end"/>
      </w:r>
      <w:r>
        <w:rPr>
          <w:rFonts w:ascii="Times New Roman" w:hAnsi="Times New Roman" w:cs="Times New Roman"/>
          <w:sz w:val="24"/>
          <w:szCs w:val="24"/>
        </w:rPr>
        <w:t xml:space="preserve"> in a descriptive cross-sectional study undertaken to examine how surgical patients feel pain and the standard of nursing care in managing acute post-operative pain, discovered that, out of 141 participants,87.9% experienced pain while getting out of bed, 86.5% stated that movement increased their pain, and 61.7%</w:t>
      </w:r>
      <w:r>
        <w:rPr>
          <w:rFonts w:ascii="Times New Roman" w:hAnsi="Times New Roman" w:cs="Times New Roman"/>
          <w:sz w:val="24"/>
          <w:szCs w:val="24"/>
          <w:shd w:val="clear" w:color="auto" w:fill="FFFFFF"/>
        </w:rPr>
        <w:t xml:space="preserve"> stated that their pain was relieved by rest</w:t>
      </w:r>
      <w:r>
        <w:rPr>
          <w:rFonts w:ascii="Times New Roman" w:hAnsi="Times New Roman" w:cs="Times New Roman"/>
          <w:sz w:val="24"/>
          <w:szCs w:val="24"/>
        </w:rPr>
        <w:t>. The pain assessment scale should be integrated into post-operative pain management despite the fact that the overall quality of care in the area of pain management received a high rating.</w:t>
      </w:r>
    </w:p>
    <w:p>
      <w:pPr>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{"citationItems":[{"id":"ITEM-1","itemData":{"ISSN":"17915201","abstract":"Background: At the postoperative period, postoperative pain one of the most important patient complains is an acute pain starting with surgical trauma, lessening gradually and ending by the tissue recovery. The essential aim in nursing care of postoperative pain is to do patient assessment with nursing approachess. Furthermore pharmacologic and non-pharmacologic nursing interventions that included individual plan are to implementation and evaluation. Purpose: The purpose of this literature review which non-pharmacological methods can be used by nurses to cope with post-operative pain in Turkey. Method: The databases of Turkish Medical Index, Google Akademik, YOK Thesis Search, Pubmed, Google Scholar, EBSCO Host, Web of Science were scanned to reach the studies. It was determined that 35 studies were in conformity with the inclusion criteria. Findings: In postoperative pain control, nonpharmacologic pain control methods can be used to increase the effect of analgesics, in case of insufficient effect of analgesics, or when analgesics cannot be used. Among nonpharmacologic postoperative pain control methods, transcutaneous nerve stimulation, application of hot and/or cold compresses, relaxation exercises, music therapy, massage, reflexology, aromatherapy rarely used in postoperative pain control but hypnosis, reiki, yoga and acupuncture can not be implemented by nurses in Turkey. Conclusion: It is seen that majority of the studies conducted on nonpharmacologic methods in Turkey were masters or doctoral theses. These methods can not be performed by nurses working at the hospitals in Turkey. The reasons non-pharmacological methods were practiced less frequently by nurses were insufficient number of nurses, patients' reluctance about pain control, lack of time, and lack of information about pain control. In accordance with these results it is recommended to give more space for teaching the non-pharmacological methods that can be applied for pain management and legal regulations can be improved.","author":[{"dropping-particle":"","family":"Şimşek Yaban","given":"Züleyha","non-dropping-particle":"","parse-names":false,"suffix":""}],"container-title":"International Journal of Caring Sciences","id":"ITEM-1","issue":"1","issued":{"date-parts":[["2019"]]},"page":"529-541","title":"Usage of Non-Pharmacologic Methods on Postoperative Pain Management by Nurses: Sample of Turkey","type":"article-journal","volume":"12"},"uris":["http://www.mendeley.com/documents/?uuid=c8a1fee6-09ad-4323-ac98-b893366dc05d"]}],"mendeley":{"formattedCitation":"(Şimşek Yaban, 2019)","manualFormatting":"Şimşek Yaban (2019)","plainTextFormattedCitation":"(Şimşek Yaban, 2019)","previouslyFormattedCitation":"(Şimşek Yaban, 2019)"},"properties":{"noteIndex":0},"schema":"https://github.com/citation-style-language/schema/raw/master/csl-citation.json"}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Şimşek Yaban (2019)</w:t>
      </w:r>
      <w:r>
        <w:rPr>
          <w:rFonts w:ascii="Times New Roman" w:hAnsi="Times New Roman" w:cs="Times New Roman"/>
          <w:bCs/>
          <w:sz w:val="24"/>
          <w:szCs w:val="24"/>
          <w:shd w:val="clear" w:color="auto" w:fill="FFFFFF"/>
        </w:rPr>
        <w:fldChar w:fldCharType="end"/>
      </w:r>
      <w:r>
        <w:rPr>
          <w:rFonts w:ascii="Times New Roman" w:hAnsi="Times New Roman" w:cs="Times New Roman"/>
          <w:bCs/>
          <w:color w:val="FF0000"/>
          <w:sz w:val="24"/>
          <w:szCs w:val="24"/>
          <w:shd w:val="clear" w:color="auto" w:fill="FFFFFF"/>
        </w:rPr>
        <w:t xml:space="preserve"> </w:t>
      </w:r>
      <w:r>
        <w:rPr>
          <w:rFonts w:ascii="Times New Roman" w:hAnsi="Times New Roman" w:cs="Times New Roman"/>
          <w:sz w:val="24"/>
          <w:szCs w:val="24"/>
          <w:shd w:val="clear" w:color="auto" w:fill="FFFFFF"/>
        </w:rPr>
        <w:t>performed a randomized control trial that examined 32 studies looking at the work on post-operative pain management done by nurses in Turkey in order to illustrate the current situation, draw attention to this field by examining the use of non-pharmacological pain relief methods, and contribute to future research. He claimed that non-pharmacologic methods might be used to enhance the effects of analgesics after surgery or in situations when they are not appropriate.  Transcutaneous nerve stimulation, the use of heat and/or cold compresses, relaxation techniques, music therapy, massage, reflexology, and aromatherapy are non-pharmacologic methods that are rarely used to treat post-operative pain. Nevertheless, hypnosis, reiki, yoga and acupuncture were reported having failed to be implemented by nurses in Turkey. Transcutaneous nerve stimulation, the use of heat and/or cold compresses, relaxation techniques, music therapy, massage, reflexology, and aromatherapy are non-pharmacologic methods that are rarely used to treat post-operative pain.</w:t>
      </w:r>
    </w:p>
    <w:p>
      <w:pPr>
        <w:spacing w:before="100" w:beforeAutospacing="1" w:after="100" w:afterAutospacing="1" w:line="480" w:lineRule="auto"/>
        <w:ind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rPr>
        <w:t>In conclusion, an accurate assessment of pain serves as a guide in determining the best course of action for post-operative pain management. There is insufficient proof that the pain assessment scale is used promptly in post-operative pain treatment, despite the nurses giving out post-operative medication in a timely manner. Because treatment will be based on pain severity, the inclusion of the pain assessment scale will improve post-operative pain management practice.</w:t>
      </w:r>
    </w:p>
    <w:p>
      <w:pPr>
        <w:spacing w:before="100" w:beforeAutospacing="1" w:after="100" w:afterAutospacing="1" w:line="480" w:lineRule="auto"/>
        <w:ind w:left="720" w:right="720" w:firstLine="720"/>
        <w:rPr>
          <w:rFonts w:ascii="Times New Roman" w:hAnsi="Times New Roman" w:cs="Times New Roman"/>
          <w:sz w:val="24"/>
          <w:szCs w:val="24"/>
        </w:rPr>
        <w:sectPr>
          <w:type w:val="continuous"/>
          <w:pgSz w:w="12240" w:h="15840"/>
          <w:pgMar w:top="1440" w:right="1440" w:bottom="1440" w:left="1440" w:header="720" w:footer="720" w:gutter="0"/>
          <w:pgNumType w:start="1"/>
          <w:cols w:space="720" w:num="1"/>
          <w:titlePg/>
          <w:docGrid w:linePitch="360" w:charSpace="0"/>
        </w:sectPr>
      </w:pPr>
    </w:p>
    <w:p>
      <w:pPr>
        <w:pStyle w:val="3"/>
        <w:jc w:val="center"/>
        <w:rPr>
          <w:rFonts w:ascii="Times New Roman" w:hAnsi="Times New Roman" w:cs="Times New Roman"/>
          <w:b w:val="0"/>
          <w:sz w:val="24"/>
          <w:szCs w:val="24"/>
        </w:rPr>
      </w:pPr>
      <w:bookmarkStart w:id="78" w:name="_Toc142753397"/>
      <w:bookmarkStart w:id="79" w:name="_Toc134604145"/>
      <w:r>
        <w:rPr>
          <w:rFonts w:ascii="Times New Roman" w:hAnsi="Times New Roman" w:cs="Times New Roman"/>
          <w:sz w:val="24"/>
          <w:szCs w:val="24"/>
        </w:rPr>
        <w:t>Chapter Three: Methodology</w:t>
      </w:r>
      <w:bookmarkEnd w:id="78"/>
      <w:bookmarkEnd w:id="79"/>
    </w:p>
    <w:p>
      <w:pPr>
        <w:spacing w:before="100" w:beforeAutospacing="1" w:after="100" w:afterAutospacing="1" w:line="480" w:lineRule="auto"/>
        <w:ind w:left="90" w:firstLine="630"/>
        <w:jc w:val="both"/>
        <w:rPr>
          <w:rFonts w:ascii="Times New Roman" w:hAnsi="Times New Roman" w:eastAsia="MS Mincho" w:cs="Times New Roman"/>
          <w:sz w:val="24"/>
          <w:szCs w:val="24"/>
          <w:lang w:eastAsia="ja-JP"/>
        </w:rPr>
      </w:pPr>
      <w:r>
        <w:rPr>
          <w:rFonts w:ascii="Times New Roman" w:hAnsi="Times New Roman" w:eastAsia="MS Mincho" w:cs="Times New Roman"/>
          <w:color w:val="000000" w:themeColor="text1"/>
          <w:sz w:val="24"/>
          <w:szCs w:val="24"/>
          <w:lang w:eastAsia="ja-JP"/>
          <w14:textFill>
            <w14:solidFill>
              <w14:schemeClr w14:val="tx1"/>
            </w14:solidFill>
          </w14:textFill>
        </w:rPr>
        <w:t xml:space="preserve">The study describes </w:t>
      </w:r>
      <w:r>
        <w:rPr>
          <w:rFonts w:ascii="Times New Roman" w:hAnsi="Times New Roman" w:eastAsia="MS Mincho" w:cs="Times New Roman"/>
          <w:sz w:val="24"/>
          <w:szCs w:val="24"/>
          <w:lang w:eastAsia="ja-JP"/>
        </w:rPr>
        <w:t>the effect of application of the pain assessment scale to the nurse’s knowledge, attitude, and practice towards post-operative pain management on the surgical ward in one of the big private hospitals in Uganda.  The technique that was employed, study design, study population, sampling method, sampling size, method for data collecting, validity and reliability, protection of participant rights, data management, and analysis are all presented in this chapter.</w:t>
      </w:r>
    </w:p>
    <w:p>
      <w:pPr>
        <w:pStyle w:val="3"/>
        <w:rPr>
          <w:rFonts w:ascii="Times New Roman" w:hAnsi="Times New Roman" w:cs="Times New Roman"/>
          <w:b w:val="0"/>
          <w:sz w:val="24"/>
          <w:szCs w:val="24"/>
          <w:lang w:eastAsia="ja-JP"/>
        </w:rPr>
      </w:pPr>
      <w:bookmarkStart w:id="80" w:name="_Toc142753398"/>
      <w:bookmarkStart w:id="81" w:name="_Toc134604146"/>
      <w:r>
        <w:rPr>
          <w:rFonts w:ascii="Times New Roman" w:hAnsi="Times New Roman" w:cs="Times New Roman"/>
          <w:sz w:val="24"/>
          <w:szCs w:val="24"/>
          <w:lang w:eastAsia="ja-JP"/>
        </w:rPr>
        <w:t>Study design</w:t>
      </w:r>
      <w:bookmarkEnd w:id="80"/>
      <w:bookmarkEnd w:id="81"/>
    </w:p>
    <w:p>
      <w:pPr>
        <w:spacing w:before="100" w:beforeAutospacing="1" w:after="100" w:afterAutospacing="1" w:line="480" w:lineRule="auto"/>
        <w:ind w:left="90" w:firstLine="630"/>
        <w:jc w:val="both"/>
        <w:outlineLvl w:val="2"/>
        <w:rPr>
          <w:rFonts w:ascii="Times New Roman" w:hAnsi="Times New Roman" w:eastAsia="MS Mincho" w:cs="Times New Roman"/>
          <w:bCs/>
          <w:sz w:val="24"/>
          <w:szCs w:val="24"/>
          <w:lang w:eastAsia="ja-JP"/>
        </w:rPr>
      </w:pPr>
      <w:bookmarkStart w:id="82" w:name="_Toc142753399"/>
      <w:bookmarkStart w:id="83" w:name="_Toc104214865"/>
      <w:bookmarkStart w:id="84" w:name="_Toc134608279"/>
      <w:bookmarkStart w:id="85" w:name="_Toc104298410"/>
      <w:bookmarkStart w:id="86" w:name="_Toc134604147"/>
      <w:bookmarkStart w:id="87" w:name="_Toc120852216"/>
      <w:bookmarkStart w:id="88" w:name="_Toc104214638"/>
      <w:r>
        <w:rPr>
          <w:rFonts w:ascii="Times New Roman" w:hAnsi="Times New Roman" w:eastAsia="MS Mincho" w:cs="Times New Roman"/>
          <w:bCs/>
          <w:sz w:val="24"/>
          <w:szCs w:val="24"/>
          <w:lang w:eastAsia="ja-JP"/>
        </w:rPr>
        <w:t>This research was quantitative, quasi-experimental, and descriptive.</w:t>
      </w:r>
      <w:r>
        <w:rPr>
          <w:rStyle w:val="39"/>
          <w:rFonts w:ascii="Times New Roman" w:hAnsi="Times New Roman" w:cs="Times New Roman"/>
          <w:sz w:val="24"/>
          <w:szCs w:val="24"/>
        </w:rPr>
        <w:t xml:space="preserve"> </w:t>
      </w:r>
      <w:r>
        <w:rPr>
          <w:rFonts w:ascii="Times New Roman" w:hAnsi="Times New Roman" w:cs="Times New Roman"/>
          <w:sz w:val="24"/>
          <w:szCs w:val="24"/>
        </w:rPr>
        <w:t xml:space="preserve">Quantitative as it was collected and analyzed numerical data </w:t>
      </w:r>
      <w:r>
        <w:rPr>
          <w:rStyle w:val="39"/>
          <w:rFonts w:ascii="Times New Roman" w:hAnsi="Times New Roman" w:cs="Times New Roman"/>
          <w:sz w:val="24"/>
          <w:szCs w:val="24"/>
        </w:rPr>
        <w:t>, quasi experimental regarding the application of the educational intervention of the application of the pain assessment scale, and descriptive because it was going to examine the effect of the education intervention. This looked at the practice as far as post-operative pain assessment is concerned, how post-operative pain was being managed, how and when assessed, and if not assessed what reasons contribute to its failure. In line with that, the participants were chosen without randomization and given a pretest for assessment. Focusing on the pretest results, they were given training on how to apply a pain assessment scale to post-operative pain management. Then after four weeks, the participants were given a posttest for evaluation of knowledge, attitude and practice as regards pain assessment.</w:t>
      </w:r>
      <w:bookmarkEnd w:id="82"/>
      <w:bookmarkEnd w:id="83"/>
      <w:bookmarkEnd w:id="84"/>
      <w:bookmarkEnd w:id="85"/>
      <w:bookmarkEnd w:id="86"/>
      <w:bookmarkEnd w:id="87"/>
      <w:bookmarkEnd w:id="88"/>
      <w:r>
        <w:rPr>
          <w:rStyle w:val="39"/>
          <w:rFonts w:ascii="Times New Roman" w:hAnsi="Times New Roman" w:cs="Times New Roman"/>
          <w:sz w:val="24"/>
          <w:szCs w:val="24"/>
        </w:rPr>
        <w:t xml:space="preserve"> </w:t>
      </w:r>
      <w:r>
        <w:rPr>
          <w:rFonts w:ascii="Times New Roman" w:hAnsi="Times New Roman" w:eastAsia="MS Mincho" w:cs="Times New Roman"/>
          <w:bCs/>
          <w:sz w:val="24"/>
          <w:szCs w:val="24"/>
          <w:lang w:eastAsia="ja-JP"/>
        </w:rPr>
        <w:tab/>
      </w:r>
    </w:p>
    <w:p>
      <w:pPr>
        <w:pStyle w:val="3"/>
        <w:rPr>
          <w:rFonts w:ascii="Times New Roman" w:hAnsi="Times New Roman" w:cs="Times New Roman"/>
          <w:b w:val="0"/>
          <w:sz w:val="24"/>
          <w:szCs w:val="24"/>
          <w:shd w:val="clear" w:color="auto" w:fill="FFFFFF"/>
        </w:rPr>
      </w:pPr>
      <w:bookmarkStart w:id="89" w:name="_Toc142753400"/>
      <w:bookmarkStart w:id="90" w:name="_Toc134604148"/>
      <w:r>
        <w:rPr>
          <w:rFonts w:ascii="Times New Roman" w:hAnsi="Times New Roman" w:cs="Times New Roman"/>
          <w:sz w:val="24"/>
          <w:szCs w:val="24"/>
        </w:rPr>
        <w:t>Study area</w:t>
      </w:r>
      <w:bookmarkEnd w:id="89"/>
      <w:bookmarkEnd w:id="90"/>
    </w:p>
    <w:p>
      <w:pPr>
        <w:autoSpaceDE w:val="0"/>
        <w:autoSpaceDN w:val="0"/>
        <w:adjustRightInd w:val="0"/>
        <w:spacing w:before="100" w:beforeAutospacing="1" w:after="100" w:afterAutospacing="1" w:line="480" w:lineRule="auto"/>
        <w:ind w:left="90" w:firstLine="630"/>
        <w:jc w:val="both"/>
        <w:rPr>
          <w:rFonts w:ascii="Times New Roman" w:hAnsi="Times New Roman" w:cs="Times New Roman"/>
          <w:b/>
          <w:sz w:val="24"/>
          <w:szCs w:val="24"/>
          <w:shd w:val="clear" w:color="auto" w:fill="FFFFFF"/>
        </w:rPr>
      </w:pPr>
      <w:r>
        <w:rPr>
          <w:rFonts w:ascii="Times New Roman" w:hAnsi="Times New Roman" w:eastAsia="MS Mincho" w:cs="Times New Roman"/>
          <w:sz w:val="24"/>
          <w:szCs w:val="24"/>
          <w:lang w:eastAsia="ja-JP"/>
        </w:rPr>
        <w:t xml:space="preserve">The study was conducted in a hospital setting, Mengo hospital, located in Kampala city. Mengo is a teaching hospital, which covers out and in patients, carrying out </w:t>
      </w:r>
      <w:r>
        <w:rPr>
          <w:rFonts w:ascii="Times New Roman" w:hAnsi="Times New Roman" w:cs="Times New Roman"/>
          <w:sz w:val="24"/>
          <w:szCs w:val="24"/>
          <w:lang w:eastAsia="ja-JP"/>
        </w:rPr>
        <w:t>an</w:t>
      </w:r>
      <w:r>
        <w:rPr>
          <w:rFonts w:ascii="Times New Roman" w:hAnsi="Times New Roman" w:cs="Times New Roman"/>
          <w:sz w:val="24"/>
          <w:szCs w:val="24"/>
        </w:rPr>
        <w:t xml:space="preserve"> average of 45 operations per day</w:t>
      </w:r>
      <w:r>
        <w:rPr>
          <w:rFonts w:ascii="Times New Roman" w:hAnsi="Times New Roman" w:eastAsia="MS Mincho" w:cs="Times New Roman"/>
          <w:sz w:val="24"/>
          <w:szCs w:val="24"/>
          <w:lang w:eastAsia="ja-JP"/>
        </w:rPr>
        <w:t>, totaling to1350 operations a month and these include caesarian sections, gynecological, orthopedic operations and other general surgical procedures.  Therefore, this made Mengo hospital relevant to my study.</w:t>
      </w:r>
    </w:p>
    <w:p>
      <w:pPr>
        <w:pStyle w:val="3"/>
        <w:rPr>
          <w:rFonts w:ascii="Times New Roman" w:hAnsi="Times New Roman" w:cs="Times New Roman"/>
          <w:b w:val="0"/>
          <w:sz w:val="24"/>
          <w:szCs w:val="24"/>
        </w:rPr>
      </w:pPr>
      <w:bookmarkStart w:id="91" w:name="_Toc134604149"/>
      <w:bookmarkStart w:id="92" w:name="_Toc142753401"/>
      <w:r>
        <w:rPr>
          <w:rFonts w:ascii="Times New Roman" w:hAnsi="Times New Roman" w:cs="Times New Roman"/>
          <w:sz w:val="24"/>
          <w:szCs w:val="24"/>
        </w:rPr>
        <w:t>Study population</w:t>
      </w:r>
      <w:bookmarkEnd w:id="91"/>
      <w:bookmarkEnd w:id="92"/>
    </w:p>
    <w:p>
      <w:pPr>
        <w:spacing w:before="100" w:beforeAutospacing="1" w:after="100" w:afterAutospacing="1" w:line="480" w:lineRule="auto"/>
        <w:ind w:left="90" w:firstLine="630"/>
        <w:jc w:val="both"/>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The appropriate population for my research question were all nurses working in Mengo hospital in Uganda, whereas the target population were the nurses in Mengo hospital working on the surgical ward only.</w:t>
      </w:r>
    </w:p>
    <w:p>
      <w:pPr>
        <w:pStyle w:val="3"/>
        <w:rPr>
          <w:rFonts w:ascii="Times New Roman" w:hAnsi="Times New Roman" w:cs="Times New Roman"/>
          <w:b w:val="0"/>
          <w:sz w:val="24"/>
          <w:szCs w:val="24"/>
        </w:rPr>
      </w:pPr>
      <w:bookmarkStart w:id="93" w:name="_Toc142753402"/>
      <w:bookmarkStart w:id="94" w:name="_Toc134604150"/>
      <w:r>
        <w:rPr>
          <w:rFonts w:ascii="Times New Roman" w:hAnsi="Times New Roman" w:cs="Times New Roman"/>
          <w:sz w:val="24"/>
          <w:szCs w:val="24"/>
        </w:rPr>
        <w:t>Sample size</w:t>
      </w:r>
      <w:bookmarkEnd w:id="93"/>
      <w:bookmarkEnd w:id="94"/>
    </w:p>
    <w:p>
      <w:pPr>
        <w:spacing w:after="100" w:afterAutospacing="1" w:line="480" w:lineRule="auto"/>
        <w:ind w:left="90" w:firstLine="630"/>
        <w:jc w:val="both"/>
        <w:rPr>
          <w:rFonts w:ascii="Times New Roman" w:hAnsi="Times New Roman" w:cs="Times New Roman"/>
          <w:sz w:val="24"/>
          <w:szCs w:val="24"/>
        </w:rPr>
      </w:pPr>
      <w:r>
        <w:rPr>
          <w:rFonts w:ascii="Times New Roman" w:hAnsi="Times New Roman" w:eastAsia="MS Mincho" w:cs="Times New Roman"/>
          <w:sz w:val="24"/>
          <w:szCs w:val="24"/>
          <w:lang w:eastAsia="ja-JP"/>
        </w:rPr>
        <w:t xml:space="preserve">The study population were 61 nurses. The maximum size of the sample attained at the setting was again 61 in relation to the population size and legality with respect to the characteristics of interest. I applied </w:t>
      </w:r>
      <w:r>
        <w:rPr>
          <w:rFonts w:ascii="Times New Roman" w:hAnsi="Times New Roman" w:cs="Times New Roman"/>
          <w:sz w:val="24"/>
          <w:szCs w:val="24"/>
        </w:rPr>
        <w:t>Krejcie and Morgan (1970)’s formula for determining sample size.</w:t>
      </w:r>
    </w:p>
    <w:p>
      <w:pPr>
        <w:spacing w:after="100" w:afterAutospacing="1" w:line="240" w:lineRule="auto"/>
        <w:ind w:left="90" w:firstLine="630"/>
        <w:jc w:val="both"/>
        <w:rPr>
          <w:rFonts w:ascii="Times New Roman" w:hAnsi="Times New Roman" w:cs="Times New Roman" w:eastAsiaTheme="minorEastAsia"/>
          <w:color w:val="231F20"/>
          <w:sz w:val="24"/>
          <w:szCs w:val="24"/>
        </w:rPr>
      </w:pPr>
      <w:r>
        <w:rPr>
          <w:rFonts w:ascii="Times New Roman" w:hAnsi="Times New Roman" w:cs="Times New Roman"/>
          <w:sz w:val="24"/>
          <w:szCs w:val="24"/>
        </w:rPr>
        <w:t>S</w:t>
      </w:r>
      <w:bookmarkStart w:id="95" w:name="_Hlk103276870"/>
      <w:r>
        <w:rPr>
          <w:rFonts w:ascii="Times New Roman" w:hAnsi="Times New Roman" w:cs="Times New Roman"/>
          <w:sz w:val="24"/>
          <w:szCs w:val="24"/>
        </w:rPr>
        <w:t xml:space="preserve">= </w:t>
      </w:r>
      <m:oMath>
        <m:f>
          <m:fPr>
            <m:ctrlPr>
              <w:rPr>
                <w:rFonts w:ascii="Cambria Math" w:hAnsi="Cambria Math" w:cs="Times New Roman"/>
                <w:i/>
                <w:color w:val="231F20"/>
                <w:sz w:val="24"/>
                <w:szCs w:val="24"/>
              </w:rPr>
            </m:ctrlPr>
          </m:fPr>
          <m:num>
            <m:sSup>
              <m:sSupPr>
                <m:ctrlPr>
                  <w:rPr>
                    <w:rStyle w:val="40"/>
                    <w:rFonts w:ascii="Cambria Math" w:hAnsi="Cambria Math" w:cs="Times New Roman"/>
                    <w:sz w:val="24"/>
                    <w:szCs w:val="24"/>
                  </w:rPr>
                </m:ctrlPr>
              </m:sSupPr>
              <m:e>
                <m:r>
                  <m:rPr>
                    <m:sty m:val="p"/>
                  </m:rPr>
                  <w:rPr>
                    <w:rStyle w:val="40"/>
                    <w:rFonts w:ascii="Cambria Math" w:hAnsi="Cambria Math" w:cs="Times New Roman"/>
                    <w:sz w:val="24"/>
                    <w:szCs w:val="24"/>
                  </w:rPr>
                  <m:t>X</m:t>
                </m:r>
                <m:ctrlPr>
                  <w:rPr>
                    <w:rStyle w:val="40"/>
                    <w:rFonts w:ascii="Cambria Math" w:hAnsi="Cambria Math" w:cs="Times New Roman"/>
                    <w:sz w:val="24"/>
                    <w:szCs w:val="24"/>
                  </w:rPr>
                </m:ctrlPr>
              </m:e>
              <m:sup>
                <m:r>
                  <m:rPr/>
                  <w:rPr>
                    <w:rStyle w:val="40"/>
                    <w:rFonts w:ascii="Cambria Math" w:hAnsi="Cambria Math" w:cs="Times New Roman"/>
                    <w:sz w:val="24"/>
                    <w:szCs w:val="24"/>
                  </w:rPr>
                  <m:t>2</m:t>
                </m:r>
                <m:ctrlPr>
                  <w:rPr>
                    <w:rStyle w:val="40"/>
                    <w:rFonts w:ascii="Cambria Math" w:hAnsi="Cambria Math" w:cs="Times New Roman"/>
                    <w:sz w:val="24"/>
                    <w:szCs w:val="24"/>
                  </w:rPr>
                </m:ctrlPr>
              </m:sup>
            </m:sSup>
            <m:r>
              <m:rPr/>
              <w:rPr>
                <w:rStyle w:val="40"/>
                <w:rFonts w:ascii="Cambria Math" w:hAnsi="Cambria Math" w:cs="Times New Roman"/>
                <w:sz w:val="24"/>
                <w:szCs w:val="24"/>
              </w:rPr>
              <m:t>NP</m:t>
            </m:r>
            <m:r>
              <m:rPr>
                <m:sty m:val="p"/>
              </m:rPr>
              <w:rPr>
                <w:rStyle w:val="40"/>
                <w:rFonts w:ascii="Cambria Math" w:hAnsi="Cambria Math" w:cs="Times New Roman"/>
                <w:sz w:val="24"/>
                <w:szCs w:val="24"/>
              </w:rPr>
              <m:t>(1−P)</m:t>
            </m:r>
            <m:ctrlPr>
              <w:rPr>
                <w:rFonts w:ascii="Cambria Math" w:hAnsi="Cambria Math" w:cs="Times New Roman"/>
                <w:i/>
                <w:color w:val="231F20"/>
                <w:sz w:val="24"/>
                <w:szCs w:val="24"/>
              </w:rPr>
            </m:ctrlPr>
          </m:num>
          <m:den>
            <m:sSup>
              <m:sSupPr>
                <m:ctrlPr>
                  <w:rPr>
                    <w:rStyle w:val="40"/>
                    <w:rFonts w:ascii="Cambria Math" w:hAnsi="Cambria Math" w:cs="Times New Roman"/>
                    <w:sz w:val="24"/>
                    <w:szCs w:val="24"/>
                  </w:rPr>
                </m:ctrlPr>
              </m:sSupPr>
              <m:e>
                <m:r>
                  <m:rPr/>
                  <w:rPr>
                    <w:rStyle w:val="40"/>
                    <w:rFonts w:ascii="Cambria Math" w:hAnsi="Cambria Math" w:cs="Times New Roman"/>
                    <w:sz w:val="24"/>
                    <w:szCs w:val="24"/>
                  </w:rPr>
                  <m:t>d</m:t>
                </m:r>
                <m:ctrlPr>
                  <w:rPr>
                    <w:rStyle w:val="40"/>
                    <w:rFonts w:ascii="Cambria Math" w:hAnsi="Cambria Math" w:cs="Times New Roman"/>
                    <w:sz w:val="24"/>
                    <w:szCs w:val="24"/>
                  </w:rPr>
                </m:ctrlPr>
              </m:e>
              <m:sup>
                <m:r>
                  <m:rPr/>
                  <w:rPr>
                    <w:rStyle w:val="40"/>
                    <w:rFonts w:ascii="Cambria Math" w:hAnsi="Cambria Math" w:cs="Times New Roman"/>
                    <w:sz w:val="24"/>
                    <w:szCs w:val="24"/>
                  </w:rPr>
                  <m:t>2</m:t>
                </m:r>
                <m:ctrlPr>
                  <w:rPr>
                    <w:rStyle w:val="40"/>
                    <w:rFonts w:ascii="Cambria Math" w:hAnsi="Cambria Math" w:cs="Times New Roman"/>
                    <w:sz w:val="24"/>
                    <w:szCs w:val="24"/>
                  </w:rPr>
                </m:ctrlPr>
              </m:sup>
            </m:sSup>
            <m:r>
              <m:rPr>
                <m:sty m:val="p"/>
              </m:rPr>
              <w:rPr>
                <w:rStyle w:val="40"/>
                <w:rFonts w:ascii="Cambria Math" w:hAnsi="Cambria Math" w:cs="Times New Roman"/>
                <w:sz w:val="24"/>
                <w:szCs w:val="24"/>
              </w:rPr>
              <m:t>(</m:t>
            </m:r>
            <m:r>
              <m:rPr/>
              <w:rPr>
                <w:rStyle w:val="40"/>
                <w:rFonts w:ascii="Cambria Math" w:hAnsi="Cambria Math" w:cs="Times New Roman"/>
                <w:sz w:val="24"/>
                <w:szCs w:val="24"/>
              </w:rPr>
              <m:t>N</m:t>
            </m:r>
            <m:r>
              <m:rPr>
                <m:sty m:val="p"/>
              </m:rPr>
              <w:rPr>
                <w:rStyle w:val="40"/>
                <w:rFonts w:ascii="Cambria Math" w:hAnsi="Cambria Math" w:cs="Times New Roman"/>
                <w:sz w:val="24"/>
                <w:szCs w:val="24"/>
              </w:rPr>
              <m:t xml:space="preserve">−1) + </m:t>
            </m:r>
            <m:sSup>
              <m:sSupPr>
                <m:ctrlPr>
                  <w:rPr>
                    <w:rStyle w:val="40"/>
                    <w:rFonts w:ascii="Cambria Math" w:hAnsi="Cambria Math" w:cs="Times New Roman"/>
                    <w:i/>
                    <w:sz w:val="24"/>
                    <w:szCs w:val="24"/>
                  </w:rPr>
                </m:ctrlPr>
              </m:sSupPr>
              <m:e>
                <m:r>
                  <m:rPr/>
                  <w:rPr>
                    <w:rStyle w:val="40"/>
                    <w:rFonts w:ascii="Cambria Math" w:hAnsi="Cambria Math" w:cs="Times New Roman"/>
                    <w:sz w:val="24"/>
                    <w:szCs w:val="24"/>
                  </w:rPr>
                  <m:t>X</m:t>
                </m:r>
                <m:ctrlPr>
                  <w:rPr>
                    <w:rStyle w:val="40"/>
                    <w:rFonts w:ascii="Cambria Math" w:hAnsi="Cambria Math" w:cs="Times New Roman"/>
                    <w:i/>
                    <w:sz w:val="24"/>
                    <w:szCs w:val="24"/>
                  </w:rPr>
                </m:ctrlPr>
              </m:e>
              <m:sup>
                <m:r>
                  <m:rPr/>
                  <w:rPr>
                    <w:rStyle w:val="40"/>
                    <w:rFonts w:ascii="Cambria Math" w:hAnsi="Cambria Math" w:cs="Times New Roman"/>
                    <w:sz w:val="24"/>
                    <w:szCs w:val="24"/>
                  </w:rPr>
                  <m:t>2</m:t>
                </m:r>
                <m:ctrlPr>
                  <w:rPr>
                    <w:rStyle w:val="40"/>
                    <w:rFonts w:ascii="Cambria Math" w:hAnsi="Cambria Math" w:cs="Times New Roman"/>
                    <w:i/>
                    <w:sz w:val="24"/>
                    <w:szCs w:val="24"/>
                  </w:rPr>
                </m:ctrlPr>
              </m:sup>
            </m:sSup>
            <m:r>
              <m:rPr>
                <m:sty m:val="p"/>
              </m:rPr>
              <w:rPr>
                <w:rStyle w:val="40"/>
                <w:rFonts w:ascii="Cambria Math" w:hAnsi="Cambria Math" w:cs="Times New Roman"/>
                <w:sz w:val="24"/>
                <w:szCs w:val="24"/>
              </w:rPr>
              <m:t>P(1−</m:t>
            </m:r>
            <m:r>
              <m:rPr/>
              <w:rPr>
                <w:rStyle w:val="40"/>
                <w:rFonts w:ascii="Cambria Math" w:hAnsi="Cambria Math" w:cs="Times New Roman"/>
                <w:sz w:val="24"/>
                <w:szCs w:val="24"/>
              </w:rPr>
              <m:t>P</m:t>
            </m:r>
            <m:r>
              <m:rPr>
                <m:sty m:val="p"/>
              </m:rPr>
              <w:rPr>
                <w:rStyle w:val="40"/>
                <w:rFonts w:ascii="Cambria Math" w:hAnsi="Cambria Math" w:cs="Times New Roman"/>
                <w:sz w:val="24"/>
                <w:szCs w:val="24"/>
              </w:rPr>
              <m:t>)</m:t>
            </m:r>
            <m:ctrlPr>
              <w:rPr>
                <w:rFonts w:ascii="Cambria Math" w:hAnsi="Cambria Math" w:cs="Times New Roman"/>
                <w:i/>
                <w:color w:val="231F20"/>
                <w:sz w:val="24"/>
                <w:szCs w:val="24"/>
              </w:rPr>
            </m:ctrlPr>
            <w:bookmarkEnd w:id="95"/>
          </m:den>
        </m:f>
      </m:oMath>
    </w:p>
    <w:p>
      <w:pPr>
        <w:spacing w:after="100" w:afterAutospacing="1" w:line="240" w:lineRule="auto"/>
        <w:ind w:left="90" w:firstLine="630"/>
        <w:jc w:val="both"/>
        <w:rPr>
          <w:rFonts w:ascii="Times New Roman" w:hAnsi="Times New Roman" w:cs="Times New Roman"/>
          <w:sz w:val="24"/>
          <w:szCs w:val="24"/>
        </w:rPr>
      </w:pPr>
      <w:r>
        <w:rPr>
          <w:rFonts w:ascii="Times New Roman" w:hAnsi="Times New Roman" w:cs="Times New Roman"/>
          <w:sz w:val="24"/>
          <w:szCs w:val="24"/>
        </w:rPr>
        <w:t xml:space="preserve">Where: </w:t>
      </w:r>
    </w:p>
    <w:p>
      <w:pPr>
        <w:spacing w:after="100" w:afterAutospacing="1" w:line="240" w:lineRule="auto"/>
        <w:ind w:left="90" w:firstLine="630"/>
        <w:jc w:val="both"/>
        <w:rPr>
          <w:rFonts w:ascii="Times New Roman" w:hAnsi="Times New Roman" w:cs="Times New Roman"/>
          <w:sz w:val="24"/>
          <w:szCs w:val="24"/>
        </w:rPr>
      </w:pPr>
      <w:r>
        <w:rPr>
          <w:rFonts w:ascii="Times New Roman" w:hAnsi="Times New Roman" w:cs="Times New Roman"/>
          <w:sz w:val="24"/>
          <w:szCs w:val="24"/>
        </w:rPr>
        <w:t xml:space="preserve">S = required sample size </w:t>
      </w:r>
    </w:p>
    <w:p>
      <w:pPr>
        <w:spacing w:after="100" w:afterAutospacing="1" w:line="240" w:lineRule="auto"/>
        <w:ind w:left="90" w:firstLine="630"/>
        <w:jc w:val="both"/>
        <w:rPr>
          <w:rFonts w:ascii="Times New Roman" w:hAnsi="Times New Roman" w:cs="Times New Roman"/>
          <w:sz w:val="24"/>
          <w:szCs w:val="24"/>
        </w:rPr>
      </w:pPr>
      <w:r>
        <w:rPr>
          <w:rFonts w:ascii="Times New Roman" w:hAnsi="Times New Roman" w:cs="Times New Roman"/>
          <w:sz w:val="24"/>
          <w:szCs w:val="24"/>
        </w:rPr>
        <w:t>X</w:t>
      </w:r>
      <w:r>
        <w:rPr>
          <w:rFonts w:ascii="Times New Roman" w:hAnsi="Times New Roman" w:cs="Times New Roman"/>
          <w:sz w:val="24"/>
          <w:szCs w:val="24"/>
          <w:vertAlign w:val="superscript"/>
        </w:rPr>
        <w:t>2</w:t>
      </w:r>
      <w:r>
        <w:rPr>
          <w:rFonts w:ascii="Times New Roman" w:hAnsi="Times New Roman" w:cs="Times New Roman"/>
          <w:sz w:val="24"/>
          <w:szCs w:val="24"/>
        </w:rPr>
        <w:t xml:space="preserve"> = the table value of chi-square for 1 degree of freedom at the desired confidence level (3.841).</w:t>
      </w:r>
    </w:p>
    <w:p>
      <w:pPr>
        <w:spacing w:after="100" w:afterAutospacing="1" w:line="240" w:lineRule="auto"/>
        <w:ind w:left="90" w:firstLine="630"/>
        <w:jc w:val="both"/>
        <w:rPr>
          <w:rFonts w:ascii="Times New Roman" w:hAnsi="Times New Roman" w:cs="Times New Roman"/>
          <w:bCs/>
          <w:sz w:val="24"/>
          <w:szCs w:val="24"/>
        </w:rPr>
      </w:pPr>
      <w:r>
        <w:rPr>
          <w:rFonts w:ascii="Times New Roman" w:hAnsi="Times New Roman" w:cs="Times New Roman"/>
          <w:sz w:val="24"/>
          <w:szCs w:val="24"/>
        </w:rPr>
        <w:t>N = the population size</w:t>
      </w:r>
    </w:p>
    <w:p>
      <w:pPr>
        <w:spacing w:after="100" w:afterAutospacing="1" w:line="240" w:lineRule="auto"/>
        <w:ind w:left="90" w:firstLine="630"/>
        <w:jc w:val="both"/>
        <w:rPr>
          <w:rFonts w:ascii="Times New Roman" w:hAnsi="Times New Roman" w:cs="Times New Roman"/>
          <w:sz w:val="24"/>
          <w:szCs w:val="24"/>
        </w:rPr>
      </w:pPr>
      <w:r>
        <w:rPr>
          <w:rFonts w:ascii="Times New Roman" w:hAnsi="Times New Roman" w:cs="Times New Roman"/>
          <w:sz w:val="24"/>
          <w:szCs w:val="24"/>
        </w:rPr>
        <w:t>P = the population proportion (assumed to be 50 since this would provide the maximum sample).</w:t>
      </w:r>
    </w:p>
    <w:p>
      <w:pPr>
        <w:spacing w:after="100" w:afterAutospacing="1" w:line="240" w:lineRule="auto"/>
        <w:ind w:left="90" w:firstLine="630"/>
        <w:jc w:val="both"/>
        <w:rPr>
          <w:rFonts w:ascii="Times New Roman" w:hAnsi="Times New Roman" w:cs="Times New Roman"/>
          <w:sz w:val="24"/>
          <w:szCs w:val="24"/>
        </w:rPr>
      </w:pPr>
      <w:r>
        <w:rPr>
          <w:rFonts w:ascii="Times New Roman" w:hAnsi="Times New Roman" w:cs="Times New Roman"/>
          <w:sz w:val="24"/>
          <w:szCs w:val="24"/>
        </w:rPr>
        <w:t>d = the degree of accuracy expressed as a proportion (0.05).</w:t>
      </w:r>
    </w:p>
    <w:p>
      <w:pPr>
        <w:spacing w:after="100" w:afterAutospacing="1" w:line="240" w:lineRule="auto"/>
        <w:ind w:left="90" w:firstLine="630"/>
        <w:jc w:val="both"/>
        <w:rPr>
          <w:rFonts w:ascii="Times New Roman" w:hAnsi="Times New Roman" w:cs="Times New Roman"/>
          <w:bCs/>
          <w:sz w:val="24"/>
          <w:szCs w:val="24"/>
        </w:rPr>
      </w:pPr>
      <w:r>
        <w:rPr>
          <w:rFonts w:ascii="Times New Roman" w:hAnsi="Times New Roman" w:cs="Times New Roman"/>
          <w:bCs/>
          <w:sz w:val="24"/>
          <w:szCs w:val="24"/>
        </w:rPr>
        <w:t xml:space="preserve">Sample size </w:t>
      </w:r>
    </w:p>
    <w:p>
      <w:pPr>
        <w:spacing w:after="100" w:afterAutospacing="1" w:line="240" w:lineRule="auto"/>
        <w:ind w:left="90" w:firstLine="630"/>
        <w:jc w:val="both"/>
        <w:rPr>
          <w:rFonts w:ascii="Times New Roman" w:hAnsi="Times New Roman" w:cs="Times New Roman"/>
          <w:bCs/>
          <w:sz w:val="24"/>
          <w:szCs w:val="24"/>
        </w:rPr>
      </w:pPr>
      <w:r>
        <w:rPr>
          <w:rFonts w:ascii="Times New Roman" w:hAnsi="Times New Roman" w:cs="Times New Roman"/>
          <w:bCs/>
          <w:sz w:val="24"/>
          <w:szCs w:val="24"/>
        </w:rPr>
        <w:t>X</w:t>
      </w:r>
      <w:r>
        <w:rPr>
          <w:rFonts w:ascii="Times New Roman" w:hAnsi="Times New Roman" w:cs="Times New Roman"/>
          <w:bCs/>
          <w:sz w:val="24"/>
          <w:szCs w:val="24"/>
          <w:vertAlign w:val="superscript"/>
        </w:rPr>
        <w:t>2</w:t>
      </w:r>
      <w:r>
        <w:rPr>
          <w:rFonts w:ascii="Times New Roman" w:hAnsi="Times New Roman" w:cs="Times New Roman"/>
          <w:bCs/>
          <w:sz w:val="24"/>
          <w:szCs w:val="24"/>
        </w:rPr>
        <w:t xml:space="preserve"> = 3.841, N = 61, P = 0.5, d = 0.05</w:t>
      </w:r>
    </w:p>
    <w:p>
      <w:pPr>
        <w:spacing w:after="100" w:afterAutospacing="1" w:line="240" w:lineRule="auto"/>
        <w:ind w:left="90" w:firstLine="630"/>
        <w:jc w:val="both"/>
        <w:rPr>
          <w:rFonts w:ascii="Times New Roman" w:hAnsi="Times New Roman" w:cs="Times New Roman" w:eastAsiaTheme="minorEastAsia"/>
          <w:color w:val="231F20"/>
          <w:sz w:val="24"/>
          <w:szCs w:val="24"/>
        </w:rPr>
      </w:pPr>
      <w:r>
        <w:rPr>
          <w:rFonts w:ascii="Times New Roman" w:hAnsi="Times New Roman" w:cs="Times New Roman"/>
          <w:sz w:val="24"/>
          <w:szCs w:val="24"/>
        </w:rPr>
        <w:br w:type="textWrapping"/>
      </w:r>
      <w:r>
        <w:rPr>
          <w:rFonts w:ascii="Times New Roman" w:hAnsi="Times New Roman" w:cs="Times New Roman" w:eastAsiaTheme="minorEastAsia"/>
          <w:color w:val="231F20"/>
          <w:sz w:val="24"/>
          <w:szCs w:val="24"/>
        </w:rPr>
        <w:t xml:space="preserve"> </w:t>
      </w:r>
      <w:r>
        <w:rPr>
          <w:rFonts w:ascii="Times New Roman" w:hAnsi="Times New Roman" w:cs="Times New Roman" w:eastAsiaTheme="minorEastAsia"/>
          <w:color w:val="231F20"/>
          <w:sz w:val="24"/>
          <w:szCs w:val="24"/>
        </w:rPr>
        <w:tab/>
      </w:r>
      <w:r>
        <w:rPr>
          <w:rFonts w:ascii="Times New Roman" w:hAnsi="Times New Roman" w:cs="Times New Roman" w:eastAsiaTheme="minorEastAsia"/>
          <w:color w:val="231F20"/>
          <w:sz w:val="24"/>
          <w:szCs w:val="24"/>
        </w:rPr>
        <w:tab/>
      </w:r>
      <m:oMath>
        <m:f>
          <m:fPr>
            <m:ctrlPr>
              <w:rPr>
                <w:rFonts w:ascii="Cambria Math" w:hAnsi="Cambria Math" w:cs="Times New Roman"/>
                <w:i/>
                <w:color w:val="231F20"/>
                <w:sz w:val="24"/>
                <w:szCs w:val="24"/>
              </w:rPr>
            </m:ctrlPr>
          </m:fPr>
          <m:num>
            <m:r>
              <m:rPr/>
              <w:rPr>
                <w:rFonts w:ascii="Cambria Math" w:hAnsi="Cambria Math" w:cs="Times New Roman"/>
                <w:color w:val="231F20"/>
                <w:sz w:val="24"/>
                <w:szCs w:val="24"/>
              </w:rPr>
              <m:t xml:space="preserve">3.841  X 61 X 0.5 </m:t>
            </m:r>
            <m:r>
              <m:rPr>
                <m:sty m:val="p"/>
              </m:rPr>
              <w:rPr>
                <w:rStyle w:val="40"/>
                <w:rFonts w:ascii="Cambria Math" w:hAnsi="Cambria Math" w:cs="Times New Roman"/>
                <w:sz w:val="24"/>
                <w:szCs w:val="24"/>
              </w:rPr>
              <m:t>(1−0.5)</m:t>
            </m:r>
            <m:ctrlPr>
              <w:rPr>
                <w:rFonts w:ascii="Cambria Math" w:hAnsi="Cambria Math" w:cs="Times New Roman"/>
                <w:i/>
                <w:color w:val="231F20"/>
                <w:sz w:val="24"/>
                <w:szCs w:val="24"/>
              </w:rPr>
            </m:ctrlPr>
          </m:num>
          <m:den>
            <m:sSup>
              <m:sSupPr>
                <m:ctrlPr>
                  <w:rPr>
                    <w:rStyle w:val="40"/>
                    <w:rFonts w:ascii="Cambria Math" w:hAnsi="Cambria Math" w:cs="Times New Roman"/>
                    <w:sz w:val="24"/>
                    <w:szCs w:val="24"/>
                  </w:rPr>
                </m:ctrlPr>
              </m:sSupPr>
              <m:e>
                <m:r>
                  <m:rPr/>
                  <w:rPr>
                    <w:rStyle w:val="40"/>
                    <w:rFonts w:ascii="Cambria Math" w:hAnsi="Cambria Math" w:cs="Times New Roman"/>
                    <w:sz w:val="24"/>
                    <w:szCs w:val="24"/>
                  </w:rPr>
                  <m:t xml:space="preserve"> 0.05</m:t>
                </m:r>
                <m:ctrlPr>
                  <w:rPr>
                    <w:rStyle w:val="40"/>
                    <w:rFonts w:ascii="Cambria Math" w:hAnsi="Cambria Math" w:cs="Times New Roman"/>
                    <w:sz w:val="24"/>
                    <w:szCs w:val="24"/>
                  </w:rPr>
                </m:ctrlPr>
              </m:e>
              <m:sup>
                <m:r>
                  <m:rPr/>
                  <w:rPr>
                    <w:rStyle w:val="40"/>
                    <w:rFonts w:ascii="Cambria Math" w:hAnsi="Cambria Math" w:cs="Times New Roman"/>
                    <w:sz w:val="24"/>
                    <w:szCs w:val="24"/>
                  </w:rPr>
                  <m:t>2</m:t>
                </m:r>
                <m:ctrlPr>
                  <w:rPr>
                    <w:rStyle w:val="40"/>
                    <w:rFonts w:ascii="Cambria Math" w:hAnsi="Cambria Math" w:cs="Times New Roman"/>
                    <w:sz w:val="24"/>
                    <w:szCs w:val="24"/>
                  </w:rPr>
                </m:ctrlPr>
              </m:sup>
            </m:sSup>
            <m:d>
              <m:dPr>
                <m:ctrlPr>
                  <w:rPr>
                    <w:rStyle w:val="40"/>
                    <w:rFonts w:ascii="Cambria Math" w:hAnsi="Cambria Math" w:cs="Times New Roman"/>
                    <w:sz w:val="24"/>
                    <w:szCs w:val="24"/>
                  </w:rPr>
                </m:ctrlPr>
              </m:dPr>
              <m:e>
                <m:r>
                  <m:rPr/>
                  <w:rPr>
                    <w:rStyle w:val="40"/>
                    <w:rFonts w:ascii="Cambria Math" w:hAnsi="Cambria Math" w:cs="Times New Roman"/>
                    <w:sz w:val="24"/>
                    <w:szCs w:val="24"/>
                  </w:rPr>
                  <m:t>61</m:t>
                </m:r>
                <m:r>
                  <m:rPr>
                    <m:sty m:val="p"/>
                  </m:rPr>
                  <w:rPr>
                    <w:rStyle w:val="40"/>
                    <w:rFonts w:ascii="Cambria Math" w:hAnsi="Cambria Math" w:cs="Times New Roman"/>
                    <w:sz w:val="24"/>
                    <w:szCs w:val="24"/>
                  </w:rPr>
                  <m:t>−1</m:t>
                </m:r>
                <m:ctrlPr>
                  <w:rPr>
                    <w:rStyle w:val="40"/>
                    <w:rFonts w:ascii="Cambria Math" w:hAnsi="Cambria Math" w:cs="Times New Roman"/>
                    <w:sz w:val="24"/>
                    <w:szCs w:val="24"/>
                  </w:rPr>
                </m:ctrlPr>
              </m:e>
            </m:d>
            <m:r>
              <m:rPr>
                <m:sty m:val="p"/>
              </m:rPr>
              <w:rPr>
                <w:rStyle w:val="40"/>
                <w:rFonts w:ascii="Cambria Math" w:hAnsi="Cambria Math" w:cs="Times New Roman"/>
                <w:sz w:val="24"/>
                <w:szCs w:val="24"/>
              </w:rPr>
              <m:t xml:space="preserve">+ </m:t>
            </m:r>
            <m:sSup>
              <m:sSupPr>
                <m:ctrlPr>
                  <w:rPr>
                    <w:rStyle w:val="40"/>
                    <w:rFonts w:ascii="Cambria Math" w:hAnsi="Cambria Math" w:cs="Times New Roman"/>
                    <w:i/>
                    <w:sz w:val="24"/>
                    <w:szCs w:val="24"/>
                  </w:rPr>
                </m:ctrlPr>
              </m:sSupPr>
              <m:e>
                <m:r>
                  <m:rPr/>
                  <w:rPr>
                    <w:rStyle w:val="40"/>
                    <w:rFonts w:ascii="Cambria Math" w:hAnsi="Cambria Math" w:cs="Times New Roman"/>
                    <w:sz w:val="24"/>
                    <w:szCs w:val="24"/>
                  </w:rPr>
                  <m:t>3.481</m:t>
                </m:r>
                <m:ctrlPr>
                  <w:rPr>
                    <w:rStyle w:val="40"/>
                    <w:rFonts w:ascii="Cambria Math" w:hAnsi="Cambria Math" w:cs="Times New Roman"/>
                    <w:i/>
                    <w:sz w:val="24"/>
                    <w:szCs w:val="24"/>
                  </w:rPr>
                </m:ctrlPr>
              </m:e>
              <m:sup>
                <m:ctrlPr>
                  <w:rPr>
                    <w:rStyle w:val="40"/>
                    <w:rFonts w:ascii="Cambria Math" w:hAnsi="Cambria Math" w:cs="Times New Roman"/>
                    <w:i/>
                    <w:sz w:val="24"/>
                    <w:szCs w:val="24"/>
                  </w:rPr>
                </m:ctrlPr>
              </m:sup>
            </m:sSup>
            <m:r>
              <m:rPr>
                <m:sty m:val="p"/>
              </m:rPr>
              <w:rPr>
                <w:rStyle w:val="40"/>
                <w:rFonts w:ascii="Cambria Math" w:hAnsi="Cambria Math" w:cs="Times New Roman"/>
                <w:sz w:val="24"/>
                <w:szCs w:val="24"/>
              </w:rPr>
              <m:t>X 0.5(1−</m:t>
            </m:r>
            <m:r>
              <m:rPr/>
              <w:rPr>
                <w:rStyle w:val="40"/>
                <w:rFonts w:ascii="Cambria Math" w:hAnsi="Cambria Math" w:cs="Times New Roman"/>
                <w:sz w:val="24"/>
                <w:szCs w:val="24"/>
              </w:rPr>
              <m:t>0.5</m:t>
            </m:r>
            <m:r>
              <m:rPr>
                <m:sty m:val="p"/>
              </m:rPr>
              <w:rPr>
                <w:rStyle w:val="40"/>
                <w:rFonts w:ascii="Cambria Math" w:hAnsi="Cambria Math" w:cs="Times New Roman"/>
                <w:sz w:val="24"/>
                <w:szCs w:val="24"/>
              </w:rPr>
              <m:t>)</m:t>
            </m:r>
            <m:ctrlPr>
              <w:rPr>
                <w:rFonts w:ascii="Cambria Math" w:hAnsi="Cambria Math" w:cs="Times New Roman"/>
                <w:i/>
                <w:color w:val="231F20"/>
                <w:sz w:val="24"/>
                <w:szCs w:val="24"/>
              </w:rPr>
            </m:ctrlPr>
          </m:den>
        </m:f>
      </m:oMath>
      <w:r>
        <w:rPr>
          <w:rFonts w:ascii="Times New Roman" w:hAnsi="Times New Roman" w:cs="Times New Roman" w:eastAsiaTheme="minorEastAsia"/>
          <w:color w:val="231F20"/>
          <w:sz w:val="24"/>
          <w:szCs w:val="24"/>
        </w:rPr>
        <w:t xml:space="preserve">  = 53.25</w:t>
      </w:r>
    </w:p>
    <w:p>
      <w:pPr>
        <w:pStyle w:val="3"/>
        <w:rPr>
          <w:rFonts w:ascii="Times New Roman" w:hAnsi="Times New Roman" w:cs="Times New Roman"/>
          <w:b w:val="0"/>
          <w:sz w:val="24"/>
          <w:szCs w:val="24"/>
          <w:lang w:eastAsia="ja-JP"/>
        </w:rPr>
      </w:pPr>
      <w:bookmarkStart w:id="96" w:name="_Toc134604151"/>
      <w:bookmarkStart w:id="97" w:name="_Toc142753403"/>
      <w:r>
        <w:rPr>
          <w:rFonts w:ascii="Times New Roman" w:hAnsi="Times New Roman" w:cs="Times New Roman"/>
          <w:sz w:val="24"/>
          <w:szCs w:val="24"/>
          <w:lang w:eastAsia="ja-JP"/>
        </w:rPr>
        <w:t>Inclusion criteria.</w:t>
      </w:r>
      <w:bookmarkEnd w:id="96"/>
      <w:bookmarkEnd w:id="97"/>
    </w:p>
    <w:p>
      <w:pPr>
        <w:spacing w:before="100" w:beforeAutospacing="1" w:after="100" w:afterAutospacing="1" w:line="480" w:lineRule="auto"/>
        <w:ind w:left="90" w:firstLine="630"/>
        <w:jc w:val="both"/>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The sample consisted of all nurses working on the surgical wards with the exception of those working beyond 4:00pm.</w:t>
      </w:r>
    </w:p>
    <w:p>
      <w:pPr>
        <w:pStyle w:val="4"/>
        <w:jc w:val="both"/>
        <w:rPr>
          <w:rFonts w:ascii="Times New Roman" w:hAnsi="Times New Roman" w:eastAsia="MS Mincho" w:cs="Times New Roman"/>
          <w:b/>
          <w:bCs/>
          <w:color w:val="auto"/>
          <w:lang w:eastAsia="ja-JP"/>
        </w:rPr>
      </w:pPr>
      <w:bookmarkStart w:id="98" w:name="_Toc134604152"/>
      <w:bookmarkStart w:id="99" w:name="_Toc142753404"/>
      <w:bookmarkStart w:id="100" w:name="_Toc134608284"/>
      <w:r>
        <w:rPr>
          <w:rFonts w:ascii="Times New Roman" w:hAnsi="Times New Roman" w:eastAsia="MS Mincho" w:cs="Times New Roman"/>
          <w:b/>
          <w:bCs/>
          <w:color w:val="auto"/>
          <w:lang w:eastAsia="ja-JP"/>
        </w:rPr>
        <w:t>Exclusion criteria.</w:t>
      </w:r>
      <w:bookmarkEnd w:id="98"/>
      <w:bookmarkEnd w:id="99"/>
      <w:bookmarkEnd w:id="100"/>
    </w:p>
    <w:p>
      <w:pPr>
        <w:spacing w:before="100" w:beforeAutospacing="1" w:after="100" w:afterAutospacing="1" w:line="480" w:lineRule="auto"/>
        <w:ind w:left="90" w:firstLine="630"/>
        <w:contextualSpacing/>
        <w:jc w:val="both"/>
        <w:rPr>
          <w:rFonts w:ascii="Times New Roman" w:hAnsi="Times New Roman" w:eastAsia="MS Mincho" w:cs="Times New Roman"/>
          <w:b/>
          <w:sz w:val="24"/>
          <w:szCs w:val="24"/>
          <w:lang w:eastAsia="ja-JP"/>
        </w:rPr>
      </w:pPr>
      <w:r>
        <w:rPr>
          <w:rFonts w:ascii="Times New Roman" w:hAnsi="Times New Roman" w:cs="Times New Roman"/>
          <w:bCs/>
          <w:sz w:val="24"/>
          <w:szCs w:val="24"/>
          <w:lang w:eastAsia="ja-JP"/>
        </w:rPr>
        <w:t>The nurses that were proven to be emotionally distressed were not included in the study.</w:t>
      </w:r>
    </w:p>
    <w:p>
      <w:pPr>
        <w:pStyle w:val="3"/>
        <w:rPr>
          <w:rFonts w:ascii="Times New Roman" w:hAnsi="Times New Roman" w:cs="Times New Roman"/>
          <w:b w:val="0"/>
          <w:sz w:val="24"/>
          <w:szCs w:val="24"/>
          <w:lang w:eastAsia="ja-JP"/>
        </w:rPr>
      </w:pPr>
      <w:bookmarkStart w:id="101" w:name="_Toc142753405"/>
      <w:bookmarkStart w:id="102" w:name="_Toc134604153"/>
      <w:r>
        <w:rPr>
          <w:rFonts w:ascii="Times New Roman" w:hAnsi="Times New Roman" w:cs="Times New Roman"/>
          <w:sz w:val="24"/>
          <w:szCs w:val="24"/>
          <w:lang w:eastAsia="ja-JP"/>
        </w:rPr>
        <w:t>Sampling method.</w:t>
      </w:r>
      <w:bookmarkEnd w:id="101"/>
      <w:bookmarkEnd w:id="102"/>
    </w:p>
    <w:p>
      <w:pPr>
        <w:spacing w:before="100" w:beforeAutospacing="1" w:after="100" w:afterAutospacing="1" w:line="480" w:lineRule="auto"/>
        <w:ind w:left="90" w:firstLine="630"/>
        <w:jc w:val="both"/>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The convenience sampling technique was employed to recruit participants for the study. A sampling of the participants was done from five different wards: Mpereza ward, (10) Main theatre, (10) Katherine ward, (10) Roybillington, (10) intensive care unit, (10) Anne walker west, (5) and Anne walker east (5). The in charges of the different words played a key role in the process of consent. This was possible in relation to the readily available sample, quick data collection, fewer rules and the low cost.</w:t>
      </w:r>
    </w:p>
    <w:p>
      <w:pPr>
        <w:pStyle w:val="3"/>
        <w:rPr>
          <w:rFonts w:ascii="Times New Roman" w:hAnsi="Times New Roman" w:cs="Times New Roman"/>
          <w:b w:val="0"/>
          <w:sz w:val="24"/>
          <w:szCs w:val="24"/>
          <w:lang w:eastAsia="ja-JP"/>
        </w:rPr>
      </w:pPr>
      <w:bookmarkStart w:id="103" w:name="_Toc142753406"/>
      <w:bookmarkStart w:id="104" w:name="_Toc134604154"/>
      <w:r>
        <w:rPr>
          <w:rFonts w:ascii="Times New Roman" w:hAnsi="Times New Roman" w:cs="Times New Roman"/>
          <w:sz w:val="24"/>
          <w:szCs w:val="24"/>
          <w:lang w:eastAsia="ja-JP"/>
        </w:rPr>
        <w:t>Data collection process and procedure.</w:t>
      </w:r>
      <w:bookmarkEnd w:id="103"/>
      <w:bookmarkEnd w:id="104"/>
      <w:r>
        <w:rPr>
          <w:rFonts w:ascii="Times New Roman" w:hAnsi="Times New Roman" w:cs="Times New Roman"/>
          <w:sz w:val="24"/>
          <w:szCs w:val="24"/>
          <w:lang w:eastAsia="ja-JP"/>
        </w:rPr>
        <w:t xml:space="preserve"> </w:t>
      </w:r>
    </w:p>
    <w:p>
      <w:pPr>
        <w:pStyle w:val="5"/>
        <w:ind w:firstLine="720"/>
        <w:jc w:val="both"/>
        <w:rPr>
          <w:rFonts w:ascii="Times New Roman" w:hAnsi="Times New Roman" w:eastAsia="MS Mincho" w:cs="Times New Roman"/>
          <w:b/>
          <w:bCs/>
          <w:i w:val="0"/>
          <w:iCs w:val="0"/>
          <w:color w:val="auto"/>
          <w:sz w:val="24"/>
          <w:szCs w:val="24"/>
          <w:lang w:eastAsia="ja-JP"/>
        </w:rPr>
      </w:pPr>
      <w:r>
        <w:rPr>
          <w:rFonts w:ascii="Times New Roman" w:hAnsi="Times New Roman" w:eastAsia="MS Mincho" w:cs="Times New Roman"/>
          <w:b/>
          <w:bCs/>
          <w:i w:val="0"/>
          <w:iCs w:val="0"/>
          <w:color w:val="auto"/>
          <w:sz w:val="24"/>
          <w:szCs w:val="24"/>
          <w:lang w:eastAsia="ja-JP"/>
        </w:rPr>
        <w:t xml:space="preserve">Intervention. </w:t>
      </w:r>
    </w:p>
    <w:p>
      <w:pPr>
        <w:spacing w:before="100" w:beforeAutospacing="1" w:after="100" w:afterAutospacing="1" w:line="480" w:lineRule="auto"/>
        <w:ind w:left="90" w:firstLine="630"/>
        <w:contextualSpacing/>
        <w:jc w:val="both"/>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I presented myself to the nurses and midwives at the CNE meeting and went over the meeting's purpose, study topic, purpose, objectives, questionnaire, and consent form. The in charges of different units were provided with consent forms to be distributed to the nurses/midwives willing to take part in the study. After filling in the forms, the nurses returned them to the in charges, and these were requested to consent. Whoever had signed the consent form participated in the study, and those that won’t sign were not part of the study. The participants were given my contact details regarding any questions as far as the study was concerned, and data collection was the next step. Following the pretest, the researcher illustrated how nursing practice may incorporate the pain assessment scale. The importance, application, and timing of the pain assessment scale were explained to the audience. The participants were advised to use a numerical rating scale (0–10) to quantify the patients' pain postoperatively. The participants were encouraged to assess pain 4hrly and whenever necessary being the fifth vital sign within the 1</w:t>
      </w:r>
      <w:r>
        <w:rPr>
          <w:rFonts w:ascii="Times New Roman" w:hAnsi="Times New Roman" w:eastAsia="MS Mincho" w:cs="Times New Roman"/>
          <w:sz w:val="24"/>
          <w:szCs w:val="24"/>
          <w:vertAlign w:val="superscript"/>
          <w:lang w:eastAsia="ja-JP"/>
        </w:rPr>
        <w:t>st</w:t>
      </w:r>
      <w:r>
        <w:rPr>
          <w:rFonts w:ascii="Times New Roman" w:hAnsi="Times New Roman" w:eastAsia="MS Mincho" w:cs="Times New Roman"/>
          <w:sz w:val="24"/>
          <w:szCs w:val="24"/>
          <w:lang w:eastAsia="ja-JP"/>
        </w:rPr>
        <w:t xml:space="preserve"> forty-eight hours post operatively. Before and after receiving painkillers, the subjects were instructed to rate their post-operative pain. For four weeks leading up to the post test, the study provided participants with ongoing training, mentorship, supervision, and timely feedback about the practice.</w:t>
      </w:r>
    </w:p>
    <w:p>
      <w:pPr>
        <w:spacing w:before="100" w:beforeAutospacing="1" w:after="100" w:afterAutospacing="1" w:line="480" w:lineRule="auto"/>
        <w:ind w:left="90" w:firstLine="630"/>
        <w:contextualSpacing/>
        <w:jc w:val="both"/>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Data was collected during morning shifts, then checked for accuracy and completeness. The questionnaires were coded with numbers in ascending order for proper accountability. Furthermore, collected data was kept in the box file, and after collection, I kept it in a safe place (under key and lock). Then, later it was entered into the computer till analysis time to ensure privacy and confidentiality. The pre-test was entered in the computer, saved under google drive to ensure proper safety, privacy and confidentiality.</w:t>
      </w:r>
    </w:p>
    <w:p>
      <w:pPr>
        <w:pStyle w:val="3"/>
        <w:rPr>
          <w:rFonts w:ascii="Times New Roman" w:hAnsi="Times New Roman" w:cs="Times New Roman"/>
          <w:b w:val="0"/>
          <w:i/>
          <w:iCs/>
          <w:sz w:val="24"/>
          <w:szCs w:val="24"/>
          <w:lang w:eastAsia="ja-JP"/>
        </w:rPr>
      </w:pPr>
      <w:bookmarkStart w:id="105" w:name="_Toc142753407"/>
      <w:r>
        <w:rPr>
          <w:rFonts w:ascii="Times New Roman" w:hAnsi="Times New Roman" w:cs="Times New Roman"/>
          <w:sz w:val="24"/>
          <w:szCs w:val="24"/>
          <w:lang w:eastAsia="ja-JP"/>
        </w:rPr>
        <w:t>Research instruments.</w:t>
      </w:r>
      <w:bookmarkEnd w:id="105"/>
    </w:p>
    <w:p>
      <w:pPr>
        <w:autoSpaceDE w:val="0"/>
        <w:autoSpaceDN w:val="0"/>
        <w:adjustRightInd w:val="0"/>
        <w:spacing w:before="100" w:beforeAutospacing="1" w:after="100" w:afterAutospacing="1" w:line="480" w:lineRule="auto"/>
        <w:ind w:left="90" w:firstLine="630"/>
        <w:jc w:val="both"/>
        <w:rPr>
          <w:rFonts w:ascii="Times New Roman" w:hAnsi="Times New Roman" w:cs="Times New Roman"/>
          <w:sz w:val="24"/>
          <w:szCs w:val="24"/>
        </w:rPr>
      </w:pPr>
      <w:r>
        <w:rPr>
          <w:rFonts w:ascii="Times New Roman" w:hAnsi="Times New Roman" w:eastAsia="MS Mincho" w:cs="Times New Roman"/>
          <w:sz w:val="24"/>
          <w:szCs w:val="24"/>
          <w:lang w:eastAsia="ja-JP"/>
        </w:rPr>
        <w:t>A tool for data collecting was created by the researcher using the earlier technologies that were used. To establish a baseline and assess the effectiveness of the educational intervention, two sets of data were collected: pre-intervention and post-intervention. Three sections of a self-administered structured questionnaire were used to obtain the data.</w:t>
      </w:r>
      <w:r>
        <w:rPr>
          <w:rFonts w:ascii="Times New Roman" w:hAnsi="Times New Roman" w:eastAsia="MS Mincho" w:cs="Times New Roman"/>
          <w:sz w:val="24"/>
          <w:szCs w:val="24"/>
        </w:rPr>
        <w:t xml:space="preserve"> Part 1: Social demographic variables (age, gender, level of education, working experience as a nurse, working experience on the surgical ward and training on pain management). Part 2: Table one was composed of 20 questions to assess nurse’s knowledge towards pain assessment with the </w:t>
      </w:r>
      <w:r>
        <w:rPr>
          <w:rFonts w:ascii="Times New Roman" w:hAnsi="Times New Roman" w:cs="Times New Roman"/>
          <w:sz w:val="24"/>
          <w:szCs w:val="24"/>
        </w:rPr>
        <w:t>highest score of 30 (100%) marks indicating better knowledge. Part 3: Table two contained 15 questions to assess nurse’s attitude on post-operative pain management. It uses a 4-point Likert scale, with Strongly agreeing to be the highest score and strongly disagreeing being the lowest (1). The positive attitude received a score of 4, whereas the negative attitude received two disagreement and one strong disagreement points.</w:t>
      </w:r>
    </w:p>
    <w:p>
      <w:pPr>
        <w:autoSpaceDE w:val="0"/>
        <w:autoSpaceDN w:val="0"/>
        <w:adjustRightInd w:val="0"/>
        <w:spacing w:before="100" w:beforeAutospacing="1" w:after="100" w:afterAutospacing="1" w:line="480" w:lineRule="auto"/>
        <w:ind w:left="90" w:firstLine="630"/>
        <w:jc w:val="both"/>
        <w:rPr>
          <w:rFonts w:ascii="Times New Roman" w:hAnsi="Times New Roman" w:cs="Times New Roman"/>
          <w:sz w:val="24"/>
          <w:szCs w:val="24"/>
        </w:rPr>
      </w:pPr>
      <w:r>
        <w:rPr>
          <w:rFonts w:ascii="Times New Roman" w:hAnsi="Times New Roman" w:cs="Times New Roman"/>
          <w:sz w:val="24"/>
          <w:szCs w:val="24"/>
        </w:rPr>
        <w:t xml:space="preserve"> A very positive attitude was scored 60 (100%) and below 70% were taken as negative attitude. The practice was assessed using a checklist before and after the intervention to check the completeness of the pain assessment scale as regards the patient’s care. The patient's case books were examined to make this possible. </w:t>
      </w:r>
    </w:p>
    <w:p>
      <w:pPr>
        <w:pStyle w:val="3"/>
        <w:rPr>
          <w:rFonts w:ascii="Times New Roman" w:hAnsi="Times New Roman" w:cs="Times New Roman"/>
          <w:b w:val="0"/>
          <w:i/>
          <w:iCs/>
          <w:sz w:val="24"/>
          <w:szCs w:val="24"/>
          <w:lang w:eastAsia="ja-JP"/>
        </w:rPr>
      </w:pPr>
      <w:bookmarkStart w:id="106" w:name="_Toc142753408"/>
      <w:r>
        <w:rPr>
          <w:rFonts w:ascii="Times New Roman" w:hAnsi="Times New Roman" w:cs="Times New Roman"/>
          <w:sz w:val="24"/>
          <w:szCs w:val="24"/>
          <w:lang w:eastAsia="ja-JP"/>
        </w:rPr>
        <w:t>Validity.</w:t>
      </w:r>
      <w:bookmarkEnd w:id="106"/>
    </w:p>
    <w:p>
      <w:pPr>
        <w:spacing w:before="100" w:beforeAutospacing="1" w:after="100" w:afterAutospacing="1" w:line="480" w:lineRule="auto"/>
        <w:ind w:left="90" w:firstLine="630"/>
        <w:jc w:val="both"/>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 xml:space="preserve">According to </w:t>
      </w:r>
      <w:r>
        <w:rPr>
          <w:rFonts w:ascii="Times New Roman" w:hAnsi="Times New Roman" w:eastAsia="MS Mincho" w:cs="Times New Roman"/>
          <w:bCs/>
          <w:sz w:val="24"/>
          <w:szCs w:val="24"/>
          <w:lang w:eastAsia="ja-JP"/>
        </w:rPr>
        <w:fldChar w:fldCharType="begin" w:fldLock="1"/>
      </w:r>
      <w:r>
        <w:rPr>
          <w:rFonts w:ascii="Times New Roman" w:hAnsi="Times New Roman" w:eastAsia="MS Mincho" w:cs="Times New Roman"/>
          <w:bCs/>
          <w:sz w:val="24"/>
          <w:szCs w:val="24"/>
          <w:lang w:eastAsia="ja-JP"/>
        </w:rPr>
        <w:instrText xml:space="preserve">ADDIN CSL_CITATION {"citationItems":[{"id":"ITEM-1","itemData":{"author":[{"dropping-particle":"","family":"Polit Denise and Cherly Beck","given":"","non-dropping-particle":"","parse-names":false,"suffix":""}],"edition":"8th Editio","id":"ITEM-1","issued":{"date-parts":[["2008"]]},"publisher":"Philadelphia","publisher-place":"Wolters Kluwer Health/Lippincott Williams &amp; Wilkins","title":"Nursing Research: Generating and Assessing Evidence for Nursing Practice","type":"book"},"uris":["http://www.mendeley.com/documents/?uuid=cb4de98c-4ee0-46be-b3e0-9ad9a18b6c45"]}],"mendeley":{"formattedCitation":"(Polit Denise and Cherly Beck, 2008)","manualFormatting":"Polit and Beck (2008)","plainTextFormattedCitation":"(Polit Denise and Cherly Beck, 2008)","previouslyFormattedCitation":"(Polit Denise and Cherly Beck, 2008)"},"properties":{"noteIndex":0},"schema":"https://github.com/citation-style-language/schema/raw/master/csl-citation.json"}</w:instrText>
      </w:r>
      <w:r>
        <w:rPr>
          <w:rFonts w:ascii="Times New Roman" w:hAnsi="Times New Roman" w:eastAsia="MS Mincho" w:cs="Times New Roman"/>
          <w:bCs/>
          <w:sz w:val="24"/>
          <w:szCs w:val="24"/>
          <w:lang w:eastAsia="ja-JP"/>
        </w:rPr>
        <w:fldChar w:fldCharType="separate"/>
      </w:r>
      <w:r>
        <w:rPr>
          <w:rFonts w:ascii="Times New Roman" w:hAnsi="Times New Roman" w:eastAsia="MS Mincho" w:cs="Times New Roman"/>
          <w:bCs/>
          <w:sz w:val="24"/>
          <w:szCs w:val="24"/>
          <w:lang w:eastAsia="ja-JP"/>
        </w:rPr>
        <w:t>Polit and Beck (2008)</w:t>
      </w:r>
      <w:r>
        <w:rPr>
          <w:rFonts w:ascii="Times New Roman" w:hAnsi="Times New Roman" w:eastAsia="MS Mincho" w:cs="Times New Roman"/>
          <w:bCs/>
          <w:sz w:val="24"/>
          <w:szCs w:val="24"/>
          <w:lang w:eastAsia="ja-JP"/>
        </w:rPr>
        <w:fldChar w:fldCharType="end"/>
      </w:r>
      <w:r>
        <w:rPr>
          <w:rFonts w:ascii="Times New Roman" w:hAnsi="Times New Roman" w:eastAsia="MS Mincho" w:cs="Times New Roman"/>
          <w:bCs/>
          <w:sz w:val="24"/>
          <w:szCs w:val="24"/>
          <w:lang w:eastAsia="ja-JP"/>
        </w:rPr>
        <w:t xml:space="preserve"> </w:t>
      </w:r>
      <w:r>
        <w:rPr>
          <w:rFonts w:ascii="Times New Roman" w:hAnsi="Times New Roman" w:eastAsia="MS Mincho" w:cs="Times New Roman"/>
          <w:sz w:val="24"/>
          <w:szCs w:val="24"/>
          <w:lang w:eastAsia="ja-JP"/>
        </w:rPr>
        <w:t xml:space="preserve">validity is a measuring criterion that refers to how well-founded and accurate the study's conclusions are, as well as how well an instrument performs its intended function. The purpose of the questionnaire was to evaluate the nurse's understanding of and attitude toward post-operative pain treatment. The tool was reviewed by the supervisors, then applied to the study after approval for quality control. </w:t>
      </w:r>
    </w:p>
    <w:p>
      <w:pPr>
        <w:pStyle w:val="3"/>
        <w:rPr>
          <w:rFonts w:ascii="Times New Roman" w:hAnsi="Times New Roman" w:cs="Times New Roman"/>
          <w:b w:val="0"/>
          <w:i/>
          <w:iCs/>
          <w:sz w:val="24"/>
          <w:szCs w:val="24"/>
          <w:lang w:eastAsia="ja-JP"/>
        </w:rPr>
      </w:pPr>
      <w:bookmarkStart w:id="107" w:name="_Toc142753409"/>
      <w:r>
        <w:rPr>
          <w:rFonts w:ascii="Times New Roman" w:hAnsi="Times New Roman" w:cs="Times New Roman"/>
          <w:sz w:val="24"/>
          <w:szCs w:val="24"/>
          <w:lang w:eastAsia="ja-JP"/>
        </w:rPr>
        <w:t>Reliability.</w:t>
      </w:r>
      <w:bookmarkEnd w:id="107"/>
    </w:p>
    <w:p>
      <w:pPr>
        <w:rPr>
          <w:rFonts w:ascii="Times New Roman" w:hAnsi="Times New Roman" w:cs="Times New Roman"/>
          <w:sz w:val="24"/>
          <w:szCs w:val="24"/>
          <w:lang w:eastAsia="ja-JP"/>
        </w:rPr>
      </w:pPr>
    </w:p>
    <w:p>
      <w:pPr>
        <w:spacing w:before="100" w:beforeAutospacing="1" w:after="100" w:afterAutospacing="1" w:line="480" w:lineRule="auto"/>
        <w:ind w:left="90" w:firstLine="630"/>
        <w:jc w:val="both"/>
        <w:rPr>
          <w:rFonts w:ascii="Times New Roman" w:hAnsi="Times New Roman" w:eastAsia="MS Mincho" w:cs="Times New Roman"/>
          <w:bCs/>
          <w:sz w:val="24"/>
          <w:szCs w:val="24"/>
          <w:lang w:eastAsia="ja-JP"/>
        </w:rPr>
      </w:pPr>
      <w:r>
        <w:rPr>
          <w:rFonts w:ascii="Times New Roman" w:hAnsi="Times New Roman" w:eastAsia="MS Mincho" w:cs="Times New Roman"/>
          <w:sz w:val="24"/>
          <w:szCs w:val="24"/>
          <w:lang w:eastAsia="ja-JP"/>
        </w:rPr>
        <w:t>The consistency or dependability with which an instrument measures an attribute is indicated by this(</w:t>
      </w:r>
      <w:r>
        <w:rPr>
          <w:rFonts w:ascii="Times New Roman" w:hAnsi="Times New Roman" w:eastAsia="MS Mincho" w:cs="Times New Roman"/>
          <w:bCs/>
          <w:sz w:val="24"/>
          <w:szCs w:val="24"/>
          <w:lang w:eastAsia="ja-JP"/>
        </w:rPr>
        <w:fldChar w:fldCharType="begin" w:fldLock="1"/>
      </w:r>
      <w:r>
        <w:rPr>
          <w:rFonts w:ascii="Times New Roman" w:hAnsi="Times New Roman" w:eastAsia="MS Mincho" w:cs="Times New Roman"/>
          <w:bCs/>
          <w:sz w:val="24"/>
          <w:szCs w:val="24"/>
          <w:lang w:eastAsia="ja-JP"/>
        </w:rPr>
        <w:instrText xml:space="preserve">ADDIN CSL_CITATION {"citationItems":[{"id":"ITEM-1","itemData":{"author":[{"dropping-particle":"","family":"F., Denise, Polit and T. Cherry","given":"Beck","non-dropping-particle":"","parse-names":false,"suffix":""}],"edition":"8th Editio","id":"ITEM-1","issued":{"date-parts":[["2008"]]},"publisher":"Philadelphia : Wolters Kluwer Health /Lippincott Williams &amp; Wilkins","title":"Nursing Research: Generating and Assessing Evidence for Nursing Practice","type":"book"},"uris":["http://www.mendeley.com/documents/?uuid=d804bb47-13cf-42b5-bee6-d6859ffebf19"]}],"mendeley":{"formattedCitation":"(F., Denise, Polit and T. Cherry, 2008)","manualFormatting":"Polit and Beck (2008)","plainTextFormattedCitation":"(F., Denise, Polit and T. Cherry, 2008)","previouslyFormattedCitation":"(F., Denise, Polit and T. Cherry, 2008)"},"properties":{"noteIndex":0},"schema":"https://github.com/citation-style-language/schema/raw/master/csl-citation.json"}</w:instrText>
      </w:r>
      <w:r>
        <w:rPr>
          <w:rFonts w:ascii="Times New Roman" w:hAnsi="Times New Roman" w:eastAsia="MS Mincho" w:cs="Times New Roman"/>
          <w:bCs/>
          <w:sz w:val="24"/>
          <w:szCs w:val="24"/>
          <w:lang w:eastAsia="ja-JP"/>
        </w:rPr>
        <w:fldChar w:fldCharType="separate"/>
      </w:r>
      <w:r>
        <w:rPr>
          <w:rFonts w:ascii="Times New Roman" w:hAnsi="Times New Roman" w:eastAsia="MS Mincho" w:cs="Times New Roman"/>
          <w:bCs/>
          <w:sz w:val="24"/>
          <w:szCs w:val="24"/>
          <w:lang w:eastAsia="ja-JP"/>
        </w:rPr>
        <w:t>Polit &amp;  Beck ;2008)</w:t>
      </w:r>
      <w:r>
        <w:rPr>
          <w:rFonts w:ascii="Times New Roman" w:hAnsi="Times New Roman" w:eastAsia="MS Mincho" w:cs="Times New Roman"/>
          <w:bCs/>
          <w:sz w:val="24"/>
          <w:szCs w:val="24"/>
          <w:lang w:eastAsia="ja-JP"/>
        </w:rPr>
        <w:fldChar w:fldCharType="end"/>
      </w:r>
      <w:r>
        <w:rPr>
          <w:rFonts w:ascii="Times New Roman" w:hAnsi="Times New Roman" w:eastAsia="MS Mincho" w:cs="Times New Roman"/>
          <w:bCs/>
          <w:sz w:val="24"/>
          <w:szCs w:val="24"/>
          <w:lang w:eastAsia="ja-JP"/>
        </w:rPr>
        <w:t>.</w:t>
      </w:r>
      <w:r>
        <w:rPr>
          <w:rFonts w:ascii="Times New Roman" w:hAnsi="Times New Roman" w:eastAsia="MS Mincho" w:cs="Times New Roman"/>
          <w:sz w:val="24"/>
          <w:szCs w:val="24"/>
          <w:lang w:eastAsia="ja-JP"/>
        </w:rPr>
        <w:t xml:space="preserve"> As a result, reliability was attained by testing my tool in a pilot setting before its intended use to ensure that it will function as intended. In addition, the alpha coefficient was calculated to find out if the pretest has accurately measured the variable of interest </w:t>
      </w:r>
      <w:r>
        <w:rPr>
          <w:rFonts w:ascii="Times New Roman" w:hAnsi="Times New Roman" w:eastAsia="MS Mincho" w:cs="Times New Roman"/>
          <w:bCs/>
          <w:sz w:val="24"/>
          <w:szCs w:val="24"/>
          <w:lang w:eastAsia="ja-JP"/>
        </w:rPr>
        <w:fldChar w:fldCharType="begin" w:fldLock="1"/>
      </w:r>
      <w:r>
        <w:rPr>
          <w:rFonts w:ascii="Times New Roman" w:hAnsi="Times New Roman" w:eastAsia="MS Mincho" w:cs="Times New Roman"/>
          <w:bCs/>
          <w:sz w:val="24"/>
          <w:szCs w:val="24"/>
          <w:lang w:eastAsia="ja-JP"/>
        </w:rPr>
        <w:instrText xml:space="preserve">ADDIN CSL_CITATION {"citationItems":[{"id":"ITEM-1","itemData":{"author":[{"dropping-particle":"","family":"Polit","given":"Denise F.","non-dropping-particle":"","parse-names":false,"suffix":""},{"dropping-particle":"","family":"Beck","given":"Cheryl Tatano","non-dropping-particle":"","parse-names":false,"suffix":""}],"edition":"Tenth edit","id":"ITEM-1","issued":{"date-parts":[["2017"]]},"publisher":"Philadelphia : Wolters Kluwer Health","title":"Nursing research: generating and assessing evidence for nursing practice","type":"book"},"uris":["http://www.mendeley.com/documents/?uuid=66c9d9f2-0582-416b-a38a-e7dd4be2543d"]}],"mendeley":{"formattedCitation":"(Polit &amp; Beck, 2017)","plainTextFormattedCitation":"(Polit &amp; Beck, 2017)","previouslyFormattedCitation":"(Polit &amp; Beck, 2017)"},"properties":{"noteIndex":0},"schema":"https://github.com/citation-style-language/schema/raw/master/csl-citation.json"}</w:instrText>
      </w:r>
      <w:r>
        <w:rPr>
          <w:rFonts w:ascii="Times New Roman" w:hAnsi="Times New Roman" w:eastAsia="MS Mincho" w:cs="Times New Roman"/>
          <w:bCs/>
          <w:sz w:val="24"/>
          <w:szCs w:val="24"/>
          <w:lang w:eastAsia="ja-JP"/>
        </w:rPr>
        <w:fldChar w:fldCharType="separate"/>
      </w:r>
      <w:r>
        <w:rPr>
          <w:rFonts w:ascii="Times New Roman" w:hAnsi="Times New Roman" w:eastAsia="MS Mincho" w:cs="Times New Roman"/>
          <w:bCs/>
          <w:sz w:val="24"/>
          <w:szCs w:val="24"/>
          <w:lang w:eastAsia="ja-JP"/>
        </w:rPr>
        <w:t>(Polit &amp; Beck, 2017)</w:t>
      </w:r>
      <w:r>
        <w:rPr>
          <w:rFonts w:ascii="Times New Roman" w:hAnsi="Times New Roman" w:eastAsia="MS Mincho" w:cs="Times New Roman"/>
          <w:bCs/>
          <w:sz w:val="24"/>
          <w:szCs w:val="24"/>
          <w:lang w:eastAsia="ja-JP"/>
        </w:rPr>
        <w:fldChar w:fldCharType="end"/>
      </w:r>
      <w:r>
        <w:rPr>
          <w:rFonts w:ascii="Times New Roman" w:hAnsi="Times New Roman" w:eastAsia="MS Mincho" w:cs="Times New Roman"/>
          <w:bCs/>
          <w:sz w:val="24"/>
          <w:szCs w:val="24"/>
          <w:lang w:eastAsia="ja-JP"/>
        </w:rPr>
        <w:t>.</w:t>
      </w:r>
    </w:p>
    <w:p>
      <w:pPr>
        <w:spacing w:before="100" w:beforeAutospacing="1" w:after="100" w:afterAutospacing="1" w:line="480" w:lineRule="auto"/>
        <w:ind w:left="90" w:firstLine="630"/>
        <w:jc w:val="both"/>
        <w:rPr>
          <w:rFonts w:ascii="Times New Roman" w:hAnsi="Times New Roman" w:eastAsia="MS Mincho" w:cs="Times New Roman"/>
          <w:sz w:val="24"/>
          <w:szCs w:val="24"/>
          <w:lang w:eastAsia="ja-JP"/>
        </w:rPr>
      </w:pPr>
      <w:r>
        <w:rPr>
          <w:rFonts w:ascii="Times New Roman" w:hAnsi="Times New Roman" w:cs="Times New Roman"/>
          <w:b/>
          <w:bCs/>
          <w:i/>
          <w:sz w:val="24"/>
          <w:szCs w:val="24"/>
        </w:rPr>
        <w:drawing>
          <wp:inline distT="0" distB="0" distL="0" distR="0">
            <wp:extent cx="3478530" cy="594995"/>
            <wp:effectExtent l="0" t="0" r="7620" b="0"/>
            <wp:docPr id="24" name="Picture 24" descr="C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ente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3493559" cy="597546"/>
                    </a:xfrm>
                    <a:prstGeom prst="rect">
                      <a:avLst/>
                    </a:prstGeom>
                    <a:noFill/>
                    <a:ln>
                      <a:noFill/>
                    </a:ln>
                  </pic:spPr>
                </pic:pic>
              </a:graphicData>
            </a:graphic>
          </wp:inline>
        </w:drawing>
      </w:r>
    </w:p>
    <w:p>
      <w:pPr>
        <w:shd w:val="clear" w:color="auto" w:fill="FFFFFF"/>
        <w:spacing w:after="0" w:line="240" w:lineRule="auto"/>
        <w:ind w:left="90" w:firstLine="630"/>
        <w:jc w:val="both"/>
        <w:rPr>
          <w:rFonts w:ascii="Times New Roman" w:hAnsi="Times New Roman" w:eastAsia="Times New Roman" w:cs="Times New Roman"/>
          <w:color w:val="1A1A1A"/>
          <w:sz w:val="24"/>
          <w:szCs w:val="24"/>
        </w:rPr>
      </w:pPr>
      <w:r>
        <w:rPr>
          <w:rFonts w:ascii="Times New Roman" w:hAnsi="Times New Roman" w:eastAsia="Times New Roman" w:cs="Times New Roman"/>
          <w:color w:val="1A1A1A"/>
          <w:sz w:val="24"/>
          <w:szCs w:val="24"/>
        </w:rPr>
        <w:t xml:space="preserve">k represents the number of items used for measurement                                                         </w:t>
      </w:r>
      <w:r>
        <w:rPr>
          <w:rFonts w:ascii="Times New Roman" w:hAnsi="Times New Roman" w:cs="Times New Roman"/>
          <w:sz w:val="24"/>
          <w:szCs w:val="24"/>
        </w:rPr>
        <mc:AlternateContent>
          <mc:Choice Requires="wps">
            <w:drawing>
              <wp:inline distT="0" distB="0" distL="0" distR="0">
                <wp:extent cx="304800" cy="304800"/>
                <wp:effectExtent l="0" t="0" r="0" b="0"/>
                <wp:docPr id="29" name="Rectangle 2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wps:spPr>
                      <wps:txbx>
                        <w:txbxContent>
                          <w:p>
                            <w:pPr>
                              <w:jc w:val="center"/>
                            </w:pPr>
                          </w:p>
                        </w:txbxContent>
                      </wps:txbx>
                      <wps:bodyPr rot="0" vert="horz" wrap="square" lIns="91440" tIns="45720" rIns="91440" bIns="45720" anchor="t" anchorCtr="0" upright="1">
                        <a:noAutofit/>
                      </wps:bodyPr>
                    </wps:wsp>
                  </a:graphicData>
                </a:graphic>
              </wp:inline>
            </w:drawing>
          </mc:Choice>
          <mc:Fallback>
            <w:pict>
              <v:rect id="Rectangle 29" o:spid="_x0000_s1026" o:spt="1" style="height:24pt;width:24pt;" filled="f" stroked="f" coordsize="21600,21600" o:gfxdata="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AfMlnTSAAAAAwEAAA8AAAAAAAAAAQAgAAAAIgAAAGRycy9kb3du&#10;cmV2LnhtbFBLAQIUABQAAAAIAIdO4kAvVXU3BQIAAB8EAAAOAAAAAAAAAAEAIAAAACEBAABkcnMv&#10;ZTJvRG9jLnhtbFBLBQYAAAAABgAGAFkBAACYBQAAAAA=&#10;">
                <v:fill on="f" focussize="0,0"/>
                <v:stroke on="f"/>
                <v:imagedata o:title=""/>
                <o:lock v:ext="edit" aspectratio="t"/>
                <v:textbox>
                  <w:txbxContent>
                    <w:p>
                      <w:pPr>
                        <w:jc w:val="center"/>
                      </w:pPr>
                    </w:p>
                  </w:txbxContent>
                </v:textbox>
                <w10:wrap type="none"/>
                <w10:anchorlock/>
              </v:rect>
            </w:pict>
          </mc:Fallback>
        </mc:AlternateContent>
      </w:r>
      <w:r>
        <w:rPr>
          <w:rFonts w:ascii="Times New Roman" w:hAnsi="Times New Roman" w:eastAsia="Times New Roman" w:cs="Times New Roman"/>
          <w:color w:val="1A1A1A"/>
          <w:sz w:val="24"/>
          <w:szCs w:val="24"/>
        </w:rPr>
        <w:drawing>
          <wp:inline distT="0" distB="0" distL="0" distR="0">
            <wp:extent cx="259080" cy="320040"/>
            <wp:effectExtent l="0" t="0" r="7620"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259080" cy="320040"/>
                    </a:xfrm>
                    <a:prstGeom prst="rect">
                      <a:avLst/>
                    </a:prstGeom>
                    <a:noFill/>
                    <a:ln>
                      <a:noFill/>
                    </a:ln>
                  </pic:spPr>
                </pic:pic>
              </a:graphicData>
            </a:graphic>
          </wp:inline>
        </w:drawing>
      </w:r>
      <w:r>
        <w:rPr>
          <w:rFonts w:ascii="Times New Roman" w:hAnsi="Times New Roman" w:eastAsia="Times New Roman" w:cs="Times New Roman"/>
          <w:color w:val="1A1A1A"/>
          <w:sz w:val="24"/>
          <w:szCs w:val="24"/>
        </w:rPr>
        <w:t xml:space="preserve">represents the variance of the score (measured value) of the i-th item                         </w:t>
      </w:r>
      <w:r>
        <w:rPr>
          <w:rFonts w:ascii="Times New Roman" w:hAnsi="Times New Roman" w:cs="Times New Roman"/>
          <w:sz w:val="24"/>
          <w:szCs w:val="24"/>
        </w:rPr>
        <mc:AlternateContent>
          <mc:Choice Requires="wps">
            <w:drawing>
              <wp:inline distT="0" distB="0" distL="0" distR="0">
                <wp:extent cx="304800" cy="304800"/>
                <wp:effectExtent l="0" t="0" r="0" b="0"/>
                <wp:docPr id="28" name="Rectangle 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wps:spPr>
                      <wps:txbx>
                        <w:txbxContent>
                          <w:p>
                            <w:pPr>
                              <w:jc w:val="center"/>
                            </w:pPr>
                          </w:p>
                        </w:txbxContent>
                      </wps:txbx>
                      <wps:bodyPr rot="0" vert="horz" wrap="square" lIns="91440" tIns="45720" rIns="91440" bIns="45720" anchor="t" anchorCtr="0" upright="1">
                        <a:noAutofit/>
                      </wps:bodyPr>
                    </wps:wsp>
                  </a:graphicData>
                </a:graphic>
              </wp:inline>
            </w:drawing>
          </mc:Choice>
          <mc:Fallback>
            <w:pict>
              <v:rect id="Rectangle 28" o:spid="_x0000_s1026" o:spt="1" style="height:24pt;width:24pt;" filled="f" stroked="f" coordsize="21600,21600" o:gfxdata="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AfMlnTSAAAAAwEAAA8AAAAAAAAAAQAgAAAAIgAAAGRycy9kb3du&#10;cmV2LnhtbFBLAQIUABQAAAAIAIdO4kACvKx5BQIAAB8EAAAOAAAAAAAAAAEAIAAAACEBAABkcnMv&#10;ZTJvRG9jLnhtbFBLBQYAAAAABgAGAFkBAACYBQAAAAA=&#10;">
                <v:fill on="f" focussize="0,0"/>
                <v:stroke on="f"/>
                <v:imagedata o:title=""/>
                <o:lock v:ext="edit" aspectratio="t"/>
                <v:textbox>
                  <w:txbxContent>
                    <w:p>
                      <w:pPr>
                        <w:jc w:val="center"/>
                      </w:pPr>
                    </w:p>
                  </w:txbxContent>
                </v:textbox>
                <w10:wrap type="none"/>
                <w10:anchorlock/>
              </v:rect>
            </w:pict>
          </mc:Fallback>
        </mc:AlternateContent>
      </w:r>
      <w:r>
        <w:rPr>
          <w:rFonts w:ascii="Times New Roman" w:hAnsi="Times New Roman" w:eastAsia="Times New Roman" w:cs="Times New Roman"/>
          <w:color w:val="1A1A1A"/>
          <w:sz w:val="24"/>
          <w:szCs w:val="24"/>
        </w:rPr>
        <w:drawing>
          <wp:inline distT="0" distB="0" distL="0" distR="0">
            <wp:extent cx="297180" cy="320040"/>
            <wp:effectExtent l="0" t="0" r="762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297180" cy="320040"/>
                    </a:xfrm>
                    <a:prstGeom prst="rect">
                      <a:avLst/>
                    </a:prstGeom>
                    <a:noFill/>
                    <a:ln>
                      <a:noFill/>
                    </a:ln>
                  </pic:spPr>
                </pic:pic>
              </a:graphicData>
            </a:graphic>
          </wp:inline>
        </w:drawing>
      </w:r>
      <w:r>
        <w:rPr>
          <w:rFonts w:ascii="Times New Roman" w:hAnsi="Times New Roman" w:eastAsia="Times New Roman" w:cs="Times New Roman"/>
          <w:color w:val="1A1A1A"/>
          <w:sz w:val="24"/>
          <w:szCs w:val="24"/>
        </w:rPr>
        <w:t>Is the variance of the total score of the scale.</w:t>
      </w:r>
    </w:p>
    <w:p>
      <w:pPr>
        <w:shd w:val="clear" w:color="auto" w:fill="FFFFFF"/>
        <w:spacing w:after="0" w:line="240" w:lineRule="auto"/>
        <w:ind w:left="90" w:firstLine="630"/>
        <w:jc w:val="both"/>
        <w:rPr>
          <w:rFonts w:ascii="Times New Roman" w:hAnsi="Times New Roman" w:eastAsia="Times New Roman" w:cs="Times New Roman"/>
          <w:color w:val="1A1A1A"/>
          <w:sz w:val="24"/>
          <w:szCs w:val="24"/>
        </w:rPr>
      </w:pPr>
      <w:r>
        <w:rPr>
          <w:rFonts w:ascii="Times New Roman" w:hAnsi="Times New Roman" w:eastAsia="Times New Roman" w:cs="Times New Roman"/>
          <w:color w:val="1A1A1A"/>
          <w:sz w:val="24"/>
          <w:szCs w:val="24"/>
        </w:rPr>
        <w:t>Variance calculation formula</w:t>
      </w:r>
    </w:p>
    <w:p>
      <w:pPr>
        <w:shd w:val="clear" w:color="auto" w:fill="FFFFFF"/>
        <w:spacing w:after="0" w:line="240" w:lineRule="auto"/>
        <w:ind w:left="90" w:firstLine="630"/>
        <w:jc w:val="both"/>
        <w:rPr>
          <w:rFonts w:ascii="Times New Roman" w:hAnsi="Times New Roman" w:eastAsia="Times New Roman" w:cs="Times New Roman"/>
          <w:color w:val="1A1A1A"/>
          <w:sz w:val="24"/>
          <w:szCs w:val="24"/>
        </w:rPr>
      </w:pPr>
      <w:r>
        <w:rPr>
          <w:rFonts w:ascii="Times New Roman" w:hAnsi="Times New Roman" w:eastAsia="Times New Roman" w:cs="Times New Roman"/>
          <w:color w:val="1A1A1A"/>
          <w:sz w:val="24"/>
          <w:szCs w:val="24"/>
        </w:rPr>
        <w:t>/</w:t>
      </w:r>
    </w:p>
    <w:p>
      <w:pPr>
        <w:shd w:val="clear" w:color="auto" w:fill="FFFFFF"/>
        <w:spacing w:after="0" w:line="240" w:lineRule="auto"/>
        <w:ind w:left="90" w:firstLine="630"/>
        <w:jc w:val="both"/>
        <w:rPr>
          <w:rFonts w:ascii="Times New Roman" w:hAnsi="Times New Roman" w:eastAsia="Times New Roman" w:cs="Times New Roman"/>
          <w:color w:val="1A1A1A"/>
          <w:sz w:val="24"/>
          <w:szCs w:val="24"/>
        </w:rPr>
      </w:pPr>
    </w:p>
    <w:p>
      <w:pPr>
        <w:shd w:val="clear" w:color="auto" w:fill="FFFFFF"/>
        <w:spacing w:after="0" w:line="240" w:lineRule="auto"/>
        <w:ind w:left="90" w:firstLine="630"/>
        <w:jc w:val="both"/>
        <w:rPr>
          <w:rFonts w:ascii="Times New Roman" w:hAnsi="Times New Roman" w:eastAsia="Times New Roman" w:cs="Times New Roman"/>
          <w:color w:val="1A1A1A"/>
          <w:sz w:val="24"/>
          <w:szCs w:val="24"/>
        </w:rPr>
      </w:pPr>
    </w:p>
    <w:p>
      <w:pPr>
        <w:shd w:val="clear" w:color="auto" w:fill="FFFFFF"/>
        <w:spacing w:after="0" w:line="240" w:lineRule="auto"/>
        <w:ind w:left="90" w:firstLine="630"/>
        <w:jc w:val="both"/>
        <w:rPr>
          <w:rFonts w:ascii="Times New Roman" w:hAnsi="Times New Roman" w:eastAsia="Times New Roman" w:cs="Times New Roman"/>
          <w:color w:val="1A1A1A"/>
          <w:sz w:val="24"/>
          <w:szCs w:val="24"/>
        </w:rPr>
      </w:pPr>
      <w:r>
        <w:rPr>
          <w:rFonts w:ascii="Times New Roman" w:hAnsi="Times New Roman" w:eastAsia="Times New Roman" w:cs="Times New Roman"/>
          <w:color w:val="1A1A1A"/>
          <w:sz w:val="24"/>
          <w:szCs w:val="24"/>
        </w:rPr>
        <w:t>in the midst of t</w:t>
      </w:r>
      <w:r>
        <w:rPr>
          <w:rFonts w:ascii="Times New Roman" w:hAnsi="Times New Roman" w:eastAsia="Times New Roman" w:cs="Times New Roman"/>
          <w:color w:val="1A1A1A"/>
          <w:sz w:val="24"/>
          <w:szCs w:val="24"/>
        </w:rPr>
        <w:drawing>
          <wp:inline distT="0" distB="0" distL="0" distR="0">
            <wp:extent cx="4283710" cy="744855"/>
            <wp:effectExtent l="0" t="0" r="2540" b="0"/>
            <wp:docPr id="20" name="Picture 20"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icture containing diagram&#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4291379" cy="746760"/>
                    </a:xfrm>
                    <a:prstGeom prst="rect">
                      <a:avLst/>
                    </a:prstGeom>
                    <a:noFill/>
                    <a:ln>
                      <a:noFill/>
                    </a:ln>
                  </pic:spPr>
                </pic:pic>
              </a:graphicData>
            </a:graphic>
          </wp:inline>
        </w:drawing>
      </w:r>
      <w:r>
        <w:rPr>
          <w:rFonts w:ascii="Times New Roman" w:hAnsi="Times New Roman" w:eastAsia="Times New Roman" w:cs="Times New Roman"/>
          <w:color w:val="1A1A1A"/>
          <w:sz w:val="24"/>
          <w:szCs w:val="24"/>
        </w:rPr>
        <w:t>hem</w:t>
      </w:r>
      <w:r>
        <w:rPr>
          <w:rFonts w:ascii="Times New Roman" w:hAnsi="Times New Roman" w:eastAsia="Times New Roman" w:cs="Times New Roman"/>
          <w:color w:val="1A1A1A"/>
          <w:sz w:val="24"/>
          <w:szCs w:val="24"/>
        </w:rPr>
        <w:drawing>
          <wp:inline distT="0" distB="0" distL="0" distR="0">
            <wp:extent cx="220980" cy="304800"/>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220980" cy="304800"/>
                    </a:xfrm>
                    <a:prstGeom prst="rect">
                      <a:avLst/>
                    </a:prstGeom>
                    <a:noFill/>
                    <a:ln>
                      <a:noFill/>
                    </a:ln>
                  </pic:spPr>
                </pic:pic>
              </a:graphicData>
            </a:graphic>
          </wp:inline>
        </w:drawing>
      </w:r>
      <w:r>
        <w:rPr>
          <w:rFonts w:ascii="Times New Roman" w:hAnsi="Times New Roman" w:cs="Times New Roman"/>
          <w:sz w:val="24"/>
          <w:szCs w:val="24"/>
        </w:rPr>
        <mc:AlternateContent>
          <mc:Choice Requires="wps">
            <w:drawing>
              <wp:inline distT="0" distB="0" distL="0" distR="0">
                <wp:extent cx="304800" cy="304800"/>
                <wp:effectExtent l="0" t="0" r="0" b="0"/>
                <wp:docPr id="27" name="Rectangle 2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wps:spPr>
                      <wps:txbx>
                        <w:txbxContent>
                          <w:p>
                            <w:pPr>
                              <w:jc w:val="center"/>
                            </w:pPr>
                          </w:p>
                        </w:txbxContent>
                      </wps:txbx>
                      <wps:bodyPr rot="0" vert="horz" wrap="square" lIns="91440" tIns="45720" rIns="91440" bIns="45720" anchor="t" anchorCtr="0" upright="1">
                        <a:noAutofit/>
                      </wps:bodyPr>
                    </wps:wsp>
                  </a:graphicData>
                </a:graphic>
              </wp:inline>
            </w:drawing>
          </mc:Choice>
          <mc:Fallback>
            <w:pict>
              <v:rect id="Rectangle 27" o:spid="_x0000_s1026" o:spt="1" style="height:24pt;width:24pt;" filled="f" stroked="f" coordsize="21600,21600" o:gfxdata="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AfMlnTSAAAAAwEAAA8AAAAAAAAAAQAgAAAAIgAAAGRycy9kb3du&#10;cmV2LnhtbFBLAQIUABQAAAAIAIdO4kArZoxRBQIAAB8EAAAOAAAAAAAAAAEAIAAAACEBAABkcnMv&#10;ZTJvRG9jLnhtbFBLBQYAAAAABgAGAFkBAACYBQAAAAA=&#10;">
                <v:fill on="f" focussize="0,0"/>
                <v:stroke on="f"/>
                <v:imagedata o:title=""/>
                <o:lock v:ext="edit" aspectratio="t"/>
                <v:textbox>
                  <w:txbxContent>
                    <w:p>
                      <w:pPr>
                        <w:jc w:val="center"/>
                      </w:pPr>
                    </w:p>
                  </w:txbxContent>
                </v:textbox>
                <w10:wrap type="none"/>
                <w10:anchorlock/>
              </v:rect>
            </w:pict>
          </mc:Fallback>
        </mc:AlternateContent>
      </w:r>
      <w:r>
        <w:rPr>
          <w:rFonts w:ascii="Times New Roman" w:hAnsi="Times New Roman" w:eastAsia="Times New Roman" w:cs="Times New Roman"/>
          <w:color w:val="1A1A1A"/>
          <w:sz w:val="24"/>
          <w:szCs w:val="24"/>
        </w:rPr>
        <w:t>represents the average.</w:t>
      </w:r>
    </w:p>
    <w:p>
      <w:pPr>
        <w:pStyle w:val="4"/>
        <w:ind w:left="90" w:firstLine="630"/>
        <w:jc w:val="both"/>
        <w:rPr>
          <w:rFonts w:ascii="Times New Roman" w:hAnsi="Times New Roman" w:eastAsia="MS Mincho" w:cs="Times New Roman"/>
          <w:b/>
          <w:bCs/>
          <w:color w:val="auto"/>
          <w:lang w:eastAsia="ja-JP"/>
        </w:rPr>
      </w:pPr>
    </w:p>
    <w:p>
      <w:pPr>
        <w:pStyle w:val="3"/>
        <w:rPr>
          <w:rFonts w:ascii="Times New Roman" w:hAnsi="Times New Roman" w:cs="Times New Roman"/>
          <w:b w:val="0"/>
          <w:sz w:val="24"/>
          <w:szCs w:val="24"/>
          <w:lang w:eastAsia="ja-JP"/>
        </w:rPr>
      </w:pPr>
      <w:bookmarkStart w:id="108" w:name="_Toc142753410"/>
      <w:bookmarkStart w:id="109" w:name="_Toc134604155"/>
      <w:r>
        <w:rPr>
          <w:rFonts w:ascii="Times New Roman" w:hAnsi="Times New Roman" w:cs="Times New Roman"/>
          <w:sz w:val="24"/>
          <w:szCs w:val="24"/>
          <w:lang w:eastAsia="ja-JP"/>
        </w:rPr>
        <w:t>Data management plan and analysis</w:t>
      </w:r>
      <w:bookmarkEnd w:id="108"/>
      <w:bookmarkEnd w:id="109"/>
    </w:p>
    <w:p>
      <w:pPr>
        <w:pStyle w:val="5"/>
        <w:ind w:firstLine="720"/>
        <w:jc w:val="both"/>
        <w:rPr>
          <w:rFonts w:ascii="Times New Roman" w:hAnsi="Times New Roman" w:eastAsia="MS Mincho" w:cs="Times New Roman"/>
          <w:b/>
          <w:bCs/>
          <w:i w:val="0"/>
          <w:iCs w:val="0"/>
          <w:color w:val="auto"/>
          <w:sz w:val="24"/>
          <w:szCs w:val="24"/>
          <w:lang w:eastAsia="ja-JP"/>
        </w:rPr>
      </w:pPr>
      <w:r>
        <w:rPr>
          <w:rFonts w:ascii="Times New Roman" w:hAnsi="Times New Roman" w:eastAsia="MS Mincho" w:cs="Times New Roman"/>
          <w:b/>
          <w:bCs/>
          <w:i w:val="0"/>
          <w:iCs w:val="0"/>
          <w:color w:val="auto"/>
          <w:sz w:val="24"/>
          <w:szCs w:val="24"/>
          <w:lang w:eastAsia="ja-JP"/>
        </w:rPr>
        <w:t>Analysis plan.</w:t>
      </w:r>
    </w:p>
    <w:p>
      <w:pPr>
        <w:spacing w:before="100" w:beforeAutospacing="1" w:after="100" w:afterAutospacing="1" w:line="480" w:lineRule="auto"/>
        <w:ind w:left="90" w:firstLine="630"/>
        <w:jc w:val="both"/>
        <w:rPr>
          <w:rFonts w:ascii="Times New Roman" w:hAnsi="Times New Roman" w:eastAsia="MS Mincho" w:cs="Times New Roman"/>
          <w:bCs/>
          <w:sz w:val="24"/>
          <w:szCs w:val="24"/>
          <w:lang w:eastAsia="ja-JP"/>
        </w:rPr>
      </w:pPr>
      <w:r>
        <w:rPr>
          <w:rFonts w:ascii="Times New Roman" w:hAnsi="Times New Roman" w:eastAsia="MS Mincho" w:cs="Times New Roman"/>
          <w:bCs/>
          <w:sz w:val="24"/>
          <w:szCs w:val="24"/>
          <w:lang w:eastAsia="ja-JP"/>
        </w:rPr>
        <w:t>Data analysis was conducted under the following steps: pre analytical phase, univariant, and bivariant analysis. In the pre-analytical phase, data cleaning was done to check completeness of the questionnaire. The frequencies were run to ensure the completeness of the data and coding of questions in accordance to how it was entered in SPSS.  The univariant analysis was conducted and the findings with the demographic characteristics of knowledge were presented in a frequency distribution table, histogram and pie charts. The frequencies, means and standard deviation of the attitude statements were presented in a table. The frequencies of the pre and posttest findings of knowledge and attitude were presented in charts (histogram). The total scores of the knowledge and attitude were categorized and presented in the pie charts.</w:t>
      </w:r>
    </w:p>
    <w:p>
      <w:pPr>
        <w:pStyle w:val="5"/>
        <w:ind w:firstLine="720"/>
        <w:jc w:val="both"/>
        <w:rPr>
          <w:rFonts w:ascii="Times New Roman" w:hAnsi="Times New Roman" w:eastAsia="MS Mincho" w:cs="Times New Roman"/>
          <w:b/>
          <w:bCs/>
          <w:i w:val="0"/>
          <w:iCs w:val="0"/>
          <w:color w:val="auto"/>
          <w:sz w:val="24"/>
          <w:szCs w:val="24"/>
          <w:lang w:eastAsia="ja-JP"/>
        </w:rPr>
      </w:pPr>
      <w:r>
        <w:rPr>
          <w:rFonts w:ascii="Times New Roman" w:hAnsi="Times New Roman" w:eastAsia="MS Mincho" w:cs="Times New Roman"/>
          <w:b/>
          <w:bCs/>
          <w:i w:val="0"/>
          <w:iCs w:val="0"/>
          <w:color w:val="auto"/>
          <w:sz w:val="24"/>
          <w:szCs w:val="24"/>
          <w:lang w:eastAsia="ja-JP"/>
        </w:rPr>
        <w:t>Bivariant analysis.</w:t>
      </w:r>
    </w:p>
    <w:p>
      <w:pPr>
        <w:spacing w:before="100" w:beforeAutospacing="1" w:after="100" w:afterAutospacing="1" w:line="480" w:lineRule="auto"/>
        <w:ind w:left="90" w:firstLine="630"/>
        <w:jc w:val="both"/>
        <w:rPr>
          <w:rFonts w:ascii="Times New Roman" w:hAnsi="Times New Roman" w:eastAsia="MS Mincho" w:cs="Times New Roman"/>
          <w:bCs/>
          <w:sz w:val="24"/>
          <w:szCs w:val="24"/>
          <w:lang w:eastAsia="ja-JP"/>
        </w:rPr>
      </w:pPr>
      <w:r>
        <w:rPr>
          <w:rFonts w:ascii="Times New Roman" w:hAnsi="Times New Roman" w:eastAsia="MS Mincho" w:cs="Times New Roman"/>
          <w:bCs/>
          <w:sz w:val="24"/>
          <w:szCs w:val="24"/>
          <w:lang w:eastAsia="ja-JP"/>
        </w:rPr>
        <w:t xml:space="preserve">To investigate the link between demographic traits, post-operative pain management knowledge, and attitude, a chi-square independent test was conducted. Therefore, this test was run to see if there was any correlation between the variables. To compare demographic traits with knowledge and attitude towards post-operative pain management, an independent t-test was conducted. To ascertain the impact of the educational intervention on nurses' knowledge, attitude, and post-operative pain management practice on the surgical ward, a paired t-test was conducted. The intervention was application of a pain assessment scale towards post operative nursing care. </w:t>
      </w:r>
    </w:p>
    <w:p>
      <w:pPr>
        <w:pStyle w:val="4"/>
        <w:jc w:val="both"/>
        <w:rPr>
          <w:rFonts w:ascii="Times New Roman" w:hAnsi="Times New Roman" w:eastAsia="MS Mincho" w:cs="Times New Roman"/>
          <w:b/>
          <w:bCs/>
          <w:color w:val="auto"/>
          <w:lang w:eastAsia="ja-JP"/>
        </w:rPr>
      </w:pPr>
      <w:bookmarkStart w:id="110" w:name="_Toc134608291"/>
      <w:bookmarkStart w:id="111" w:name="_Toc142753411"/>
      <w:bookmarkStart w:id="112" w:name="_Toc134604156"/>
      <w:r>
        <w:rPr>
          <w:rFonts w:ascii="Times New Roman" w:hAnsi="Times New Roman" w:eastAsia="MS Mincho" w:cs="Times New Roman"/>
          <w:b/>
          <w:bCs/>
          <w:color w:val="auto"/>
          <w:lang w:eastAsia="ja-JP"/>
        </w:rPr>
        <w:t>Rights of human subject</w:t>
      </w:r>
      <w:bookmarkEnd w:id="110"/>
      <w:bookmarkEnd w:id="111"/>
      <w:bookmarkEnd w:id="112"/>
    </w:p>
    <w:p>
      <w:pPr>
        <w:spacing w:before="100" w:beforeAutospacing="1" w:after="100" w:afterAutospacing="1" w:line="480" w:lineRule="auto"/>
        <w:ind w:left="90" w:firstLine="630"/>
        <w:jc w:val="both"/>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 xml:space="preserve">Focusing on ethical considerations, privacy was at the highest order, confidentiality was maintained, and the participant’s rights were considered. They did not have strings attached that if they don’t participate, they will have committed a crime. Secondly whoever opted to leave the study was free to do so without fear. Therefore, a consent form for the participants to sign before participating in the study has been designed to cater for the above. </w:t>
      </w:r>
    </w:p>
    <w:p>
      <w:pPr>
        <w:pStyle w:val="3"/>
        <w:rPr>
          <w:rFonts w:ascii="Times New Roman" w:hAnsi="Times New Roman" w:cs="Times New Roman"/>
          <w:b w:val="0"/>
          <w:sz w:val="24"/>
          <w:szCs w:val="24"/>
          <w:lang w:eastAsia="ja-JP"/>
        </w:rPr>
      </w:pPr>
      <w:bookmarkStart w:id="113" w:name="_Toc134604157"/>
      <w:bookmarkStart w:id="114" w:name="_Toc142753412"/>
      <w:r>
        <w:rPr>
          <w:rFonts w:ascii="Times New Roman" w:hAnsi="Times New Roman" w:cs="Times New Roman"/>
          <w:sz w:val="24"/>
          <w:szCs w:val="24"/>
          <w:lang w:eastAsia="ja-JP"/>
        </w:rPr>
        <w:t>Ethical consideration</w:t>
      </w:r>
      <w:bookmarkEnd w:id="113"/>
      <w:bookmarkEnd w:id="114"/>
    </w:p>
    <w:p>
      <w:pPr>
        <w:spacing w:before="100" w:beforeAutospacing="1" w:after="100" w:afterAutospacing="1" w:line="480" w:lineRule="auto"/>
        <w:ind w:left="90" w:firstLine="630"/>
        <w:jc w:val="both"/>
        <w:rPr>
          <w:rFonts w:ascii="Times New Roman" w:hAnsi="Times New Roman" w:eastAsia="MS Mincho" w:cs="Times New Roman"/>
          <w:b/>
          <w:sz w:val="24"/>
          <w:szCs w:val="24"/>
          <w:lang w:eastAsia="ja-JP"/>
        </w:rPr>
      </w:pPr>
      <w:r>
        <w:rPr>
          <w:rFonts w:ascii="Times New Roman" w:hAnsi="Times New Roman" w:eastAsia="MS Mincho" w:cs="Times New Roman"/>
          <w:sz w:val="24"/>
          <w:szCs w:val="24"/>
          <w:lang w:eastAsia="ja-JP"/>
        </w:rPr>
        <w:t xml:space="preserve"> Furthermore, I sought approval for the research proposal from the ethics committee of the Uganda Christian University School of Research and Post Graduate Studies and an introductory letter from UCU (Department of Health Sciences). The approved research proposal was submitted to the hospital research committee which granted me permission for data collection. The chief nursing officer, the administrators of the various areas, and the people in charge of data gathering all received copies of the letter from the hospital research committee.</w:t>
      </w:r>
    </w:p>
    <w:p>
      <w:pPr>
        <w:pStyle w:val="3"/>
        <w:rPr>
          <w:rFonts w:ascii="Times New Roman" w:hAnsi="Times New Roman" w:cs="Times New Roman"/>
          <w:b w:val="0"/>
          <w:sz w:val="24"/>
          <w:szCs w:val="24"/>
          <w:lang w:eastAsia="ja-JP"/>
        </w:rPr>
      </w:pPr>
      <w:bookmarkStart w:id="115" w:name="_Toc142753413"/>
      <w:bookmarkStart w:id="116" w:name="_Toc134604158"/>
      <w:r>
        <w:rPr>
          <w:rFonts w:ascii="Times New Roman" w:hAnsi="Times New Roman" w:cs="Times New Roman"/>
          <w:sz w:val="24"/>
          <w:szCs w:val="24"/>
          <w:lang w:eastAsia="ja-JP"/>
        </w:rPr>
        <w:t>Privacy and confidentiality.</w:t>
      </w:r>
      <w:bookmarkEnd w:id="115"/>
      <w:bookmarkEnd w:id="116"/>
      <w:r>
        <w:rPr>
          <w:rFonts w:ascii="Times New Roman" w:hAnsi="Times New Roman" w:cs="Times New Roman"/>
          <w:sz w:val="24"/>
          <w:szCs w:val="24"/>
          <w:lang w:eastAsia="ja-JP"/>
        </w:rPr>
        <w:t xml:space="preserve"> </w:t>
      </w:r>
    </w:p>
    <w:p>
      <w:pPr>
        <w:spacing w:before="100" w:beforeAutospacing="1" w:after="100" w:afterAutospacing="1" w:line="480" w:lineRule="auto"/>
        <w:ind w:left="90" w:firstLine="630"/>
        <w:jc w:val="both"/>
        <w:rPr>
          <w:rFonts w:ascii="Times New Roman" w:hAnsi="Times New Roman" w:eastAsia="MS Mincho" w:cs="Times New Roman"/>
          <w:b/>
          <w:sz w:val="24"/>
          <w:szCs w:val="24"/>
          <w:lang w:eastAsia="ja-JP"/>
        </w:rPr>
      </w:pPr>
      <w:r>
        <w:rPr>
          <w:rFonts w:ascii="Times New Roman" w:hAnsi="Times New Roman" w:eastAsia="MS Mincho" w:cs="Times New Roman"/>
          <w:sz w:val="24"/>
          <w:szCs w:val="24"/>
          <w:lang w:eastAsia="ja-JP"/>
        </w:rPr>
        <w:t>The data collected was kept under key and lock, then at the end of the day fed it into my computer and saved it under google drive.  It was only the researcher and supervisor to access this data collected.</w:t>
      </w:r>
    </w:p>
    <w:p>
      <w:pPr>
        <w:pStyle w:val="4"/>
        <w:jc w:val="both"/>
        <w:rPr>
          <w:rFonts w:ascii="Times New Roman" w:hAnsi="Times New Roman" w:eastAsia="MS Mincho" w:cs="Times New Roman"/>
          <w:b/>
          <w:bCs/>
          <w:color w:val="auto"/>
          <w:lang w:eastAsia="ja-JP"/>
        </w:rPr>
      </w:pPr>
      <w:bookmarkStart w:id="117" w:name="_Toc134608294"/>
      <w:bookmarkStart w:id="118" w:name="_Toc134604159"/>
      <w:bookmarkStart w:id="119" w:name="_Toc142753414"/>
      <w:r>
        <w:rPr>
          <w:rFonts w:ascii="Times New Roman" w:hAnsi="Times New Roman" w:eastAsia="MS Mincho" w:cs="Times New Roman"/>
          <w:b/>
          <w:bCs/>
          <w:color w:val="auto"/>
          <w:lang w:eastAsia="ja-JP"/>
        </w:rPr>
        <w:t>Social cultural issues.</w:t>
      </w:r>
      <w:bookmarkEnd w:id="117"/>
      <w:bookmarkEnd w:id="118"/>
      <w:bookmarkEnd w:id="119"/>
    </w:p>
    <w:p>
      <w:pPr>
        <w:spacing w:before="100" w:beforeAutospacing="1" w:after="100" w:afterAutospacing="1" w:line="480" w:lineRule="auto"/>
        <w:ind w:left="90" w:firstLine="630"/>
        <w:jc w:val="both"/>
        <w:rPr>
          <w:rFonts w:ascii="Times New Roman" w:hAnsi="Times New Roman" w:eastAsia="MS Mincho" w:cs="Times New Roman"/>
          <w:bCs/>
          <w:i/>
          <w:iCs/>
          <w:sz w:val="24"/>
          <w:szCs w:val="24"/>
          <w:lang w:eastAsia="ja-JP"/>
        </w:rPr>
      </w:pPr>
      <w:r>
        <w:rPr>
          <w:rFonts w:ascii="Times New Roman" w:hAnsi="Times New Roman" w:eastAsia="MS Mincho" w:cs="Times New Roman"/>
          <w:sz w:val="24"/>
          <w:szCs w:val="24"/>
          <w:lang w:eastAsia="ja-JP"/>
        </w:rPr>
        <w:t xml:space="preserve">There were some social cultural issues associated with gender where in the central region it is said that men should be strong despite the level of pain they might be experiencing. Therefore, it was a risk to underestimate the level of pain. </w:t>
      </w:r>
      <w:r>
        <w:rPr>
          <w:rFonts w:ascii="Times New Roman" w:hAnsi="Times New Roman" w:eastAsia="MS Mincho" w:cs="Times New Roman"/>
          <w:bCs/>
          <w:sz w:val="24"/>
          <w:szCs w:val="24"/>
          <w:lang w:eastAsia="ja-JP"/>
        </w:rPr>
        <w:t>Secondly t</w:t>
      </w:r>
      <w:r>
        <w:rPr>
          <w:rFonts w:ascii="Times New Roman" w:hAnsi="Times New Roman" w:eastAsia="MS Mincho" w:cs="Times New Roman"/>
          <w:sz w:val="24"/>
          <w:szCs w:val="24"/>
          <w:lang w:eastAsia="ja-JP"/>
        </w:rPr>
        <w:t>here was a culture of the doctors prescribing the post-operative pain killer, and the nurse must always give it as prescribed without assessing the level of pain in relation to the dose. In addition, the manager was not supposed to implement anything in the institution without the top hospital management’s consent.</w:t>
      </w:r>
    </w:p>
    <w:p>
      <w:pPr>
        <w:pStyle w:val="4"/>
        <w:jc w:val="both"/>
        <w:rPr>
          <w:rFonts w:ascii="Times New Roman" w:hAnsi="Times New Roman" w:eastAsia="MS Mincho" w:cs="Times New Roman"/>
          <w:b/>
          <w:bCs/>
          <w:color w:val="auto"/>
          <w:lang w:eastAsia="ja-JP"/>
        </w:rPr>
      </w:pPr>
      <w:bookmarkStart w:id="120" w:name="_Toc134604160"/>
      <w:bookmarkStart w:id="121" w:name="_Toc134608295"/>
      <w:bookmarkStart w:id="122" w:name="_Toc142753415"/>
      <w:r>
        <w:rPr>
          <w:rFonts w:ascii="Times New Roman" w:hAnsi="Times New Roman" w:eastAsia="MS Mincho" w:cs="Times New Roman"/>
          <w:b/>
          <w:bCs/>
          <w:color w:val="auto"/>
          <w:lang w:eastAsia="ja-JP"/>
        </w:rPr>
        <w:t>Risks in the study</w:t>
      </w:r>
      <w:bookmarkEnd w:id="120"/>
      <w:bookmarkEnd w:id="121"/>
      <w:bookmarkEnd w:id="122"/>
    </w:p>
    <w:p>
      <w:pPr>
        <w:spacing w:before="100" w:beforeAutospacing="1" w:after="100" w:afterAutospacing="1" w:line="480" w:lineRule="auto"/>
        <w:ind w:left="90" w:firstLine="630"/>
        <w:jc w:val="both"/>
        <w:rPr>
          <w:rFonts w:ascii="Times New Roman" w:hAnsi="Times New Roman" w:cs="Times New Roman"/>
          <w:sz w:val="24"/>
          <w:szCs w:val="24"/>
        </w:rPr>
      </w:pPr>
      <w:r>
        <w:rPr>
          <w:rFonts w:ascii="Times New Roman" w:hAnsi="Times New Roman" w:cs="Times New Roman"/>
          <w:sz w:val="24"/>
          <w:szCs w:val="24"/>
        </w:rPr>
        <w:t>There might be delayed feedback, wrong interpretation of the questionnaire and increased costs compared to the initial budget.</w:t>
      </w:r>
    </w:p>
    <w:p>
      <w:pPr>
        <w:pStyle w:val="4"/>
        <w:jc w:val="both"/>
        <w:rPr>
          <w:rFonts w:ascii="Times New Roman" w:hAnsi="Times New Roman" w:cs="Times New Roman"/>
          <w:b/>
          <w:bCs/>
          <w:color w:val="auto"/>
        </w:rPr>
      </w:pPr>
      <w:bookmarkStart w:id="123" w:name="_Toc134604161"/>
      <w:bookmarkStart w:id="124" w:name="_Toc142753416"/>
      <w:bookmarkStart w:id="125" w:name="_Toc134608296"/>
      <w:r>
        <w:rPr>
          <w:rFonts w:ascii="Times New Roman" w:hAnsi="Times New Roman" w:cs="Times New Roman"/>
          <w:b/>
          <w:bCs/>
          <w:color w:val="auto"/>
        </w:rPr>
        <w:t>Benefits</w:t>
      </w:r>
      <w:bookmarkEnd w:id="123"/>
      <w:bookmarkEnd w:id="124"/>
      <w:bookmarkEnd w:id="125"/>
    </w:p>
    <w:p>
      <w:pPr>
        <w:spacing w:before="100" w:beforeAutospacing="1" w:after="100" w:afterAutospacing="1" w:line="480" w:lineRule="auto"/>
        <w:ind w:left="90" w:firstLine="630"/>
        <w:jc w:val="both"/>
        <w:rPr>
          <w:rFonts w:ascii="Times New Roman" w:hAnsi="Times New Roman" w:cs="Times New Roman"/>
          <w:sz w:val="24"/>
          <w:szCs w:val="24"/>
        </w:rPr>
      </w:pPr>
      <w:r>
        <w:rPr>
          <w:rFonts w:ascii="Times New Roman" w:hAnsi="Times New Roman" w:cs="Times New Roman"/>
          <w:sz w:val="24"/>
          <w:szCs w:val="24"/>
        </w:rPr>
        <w:t>The nurses working on the surgical wards gained better information of post-operative pain management and developed their post-operative pain assessment skills. Additionally, attitudes and practices surrounding post-operative pain management have improved, leading to higher-quality treatment for these patients.</w:t>
      </w:r>
    </w:p>
    <w:p>
      <w:pPr>
        <w:pStyle w:val="4"/>
        <w:jc w:val="both"/>
        <w:rPr>
          <w:rFonts w:ascii="Times New Roman" w:hAnsi="Times New Roman" w:eastAsia="MS Mincho" w:cs="Times New Roman"/>
          <w:b/>
          <w:bCs/>
          <w:color w:val="auto"/>
          <w:lang w:eastAsia="ja-JP"/>
        </w:rPr>
      </w:pPr>
      <w:bookmarkStart w:id="126" w:name="_Toc142753417"/>
      <w:bookmarkStart w:id="127" w:name="_Toc134608297"/>
      <w:bookmarkStart w:id="128" w:name="_Toc134604162"/>
      <w:r>
        <w:rPr>
          <w:rFonts w:ascii="Times New Roman" w:hAnsi="Times New Roman" w:eastAsia="MS Mincho" w:cs="Times New Roman"/>
          <w:b/>
          <w:bCs/>
          <w:color w:val="auto"/>
          <w:lang w:eastAsia="ja-JP"/>
        </w:rPr>
        <w:t>Conflict of interest</w:t>
      </w:r>
      <w:bookmarkEnd w:id="126"/>
      <w:bookmarkEnd w:id="127"/>
      <w:bookmarkEnd w:id="128"/>
    </w:p>
    <w:p>
      <w:pPr>
        <w:autoSpaceDE w:val="0"/>
        <w:autoSpaceDN w:val="0"/>
        <w:adjustRightInd w:val="0"/>
        <w:spacing w:before="100" w:beforeAutospacing="1" w:after="100" w:afterAutospacing="1" w:line="480" w:lineRule="auto"/>
        <w:ind w:left="90" w:firstLine="630"/>
        <w:jc w:val="both"/>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 xml:space="preserve">There was no conflict of interest as it was noted in my consent form that it was the participant’s right to either participate in the study or not. </w:t>
      </w:r>
    </w:p>
    <w:p>
      <w:pPr>
        <w:pStyle w:val="3"/>
        <w:rPr>
          <w:rFonts w:ascii="Times New Roman" w:hAnsi="Times New Roman" w:cs="Times New Roman"/>
          <w:b w:val="0"/>
          <w:sz w:val="24"/>
          <w:szCs w:val="24"/>
          <w:lang w:eastAsia="ja-JP"/>
        </w:rPr>
      </w:pPr>
      <w:bookmarkStart w:id="129" w:name="_Toc134604163"/>
      <w:bookmarkStart w:id="130" w:name="_Toc142753418"/>
      <w:r>
        <w:rPr>
          <w:rFonts w:ascii="Times New Roman" w:hAnsi="Times New Roman" w:cs="Times New Roman"/>
          <w:sz w:val="24"/>
          <w:szCs w:val="24"/>
          <w:lang w:eastAsia="ja-JP"/>
        </w:rPr>
        <w:t>Limitations</w:t>
      </w:r>
      <w:bookmarkEnd w:id="129"/>
      <w:bookmarkEnd w:id="130"/>
    </w:p>
    <w:p>
      <w:pPr>
        <w:spacing w:before="100" w:beforeAutospacing="1" w:after="100" w:afterAutospacing="1" w:line="480" w:lineRule="auto"/>
        <w:ind w:left="90" w:firstLine="630"/>
        <w:jc w:val="both"/>
        <w:rPr>
          <w:rFonts w:ascii="Times New Roman" w:hAnsi="Times New Roman" w:eastAsia="MS Mincho" w:cs="Times New Roman"/>
          <w:bCs/>
          <w:sz w:val="24"/>
          <w:szCs w:val="24"/>
          <w:lang w:eastAsia="ja-JP"/>
        </w:rPr>
      </w:pPr>
      <w:r>
        <w:rPr>
          <w:rFonts w:ascii="Times New Roman" w:hAnsi="Times New Roman" w:eastAsia="MS Mincho" w:cs="Times New Roman"/>
          <w:bCs/>
          <w:sz w:val="24"/>
          <w:szCs w:val="24"/>
          <w:lang w:eastAsia="ja-JP"/>
        </w:rPr>
        <w:t>There was a challenge of using nonprobability sampling methods as it was prone to bias. Secondly, I did not know how much knowledge they had as far as pain management was concerned.</w:t>
      </w:r>
      <w:r>
        <w:rPr>
          <w:rFonts w:ascii="Times New Roman" w:hAnsi="Times New Roman" w:cs="Times New Roman"/>
          <w:sz w:val="24"/>
          <w:szCs w:val="24"/>
        </w:rPr>
        <w:t xml:space="preserve"> Thirdly, I could not predict if the number of operations done per day were still enough for practice in relation to the current situation of the Covid 19 pandemic and</w:t>
      </w:r>
      <w:r>
        <w:rPr>
          <w:rFonts w:ascii="Times New Roman" w:hAnsi="Times New Roman" w:eastAsia="MS Mincho" w:cs="Times New Roman"/>
          <w:bCs/>
          <w:sz w:val="24"/>
          <w:szCs w:val="24"/>
          <w:lang w:eastAsia="ja-JP"/>
        </w:rPr>
        <w:t xml:space="preserve"> others could not be seen for now.</w:t>
      </w:r>
    </w:p>
    <w:p>
      <w:pPr>
        <w:spacing w:before="100" w:beforeAutospacing="1" w:after="100" w:afterAutospacing="1" w:line="480" w:lineRule="auto"/>
        <w:ind w:left="90" w:firstLine="630"/>
        <w:jc w:val="both"/>
        <w:rPr>
          <w:rFonts w:ascii="Times New Roman" w:hAnsi="Times New Roman" w:eastAsia="MS Mincho" w:cs="Times New Roman"/>
          <w:bCs/>
          <w:sz w:val="24"/>
          <w:szCs w:val="24"/>
          <w:lang w:eastAsia="ja-JP"/>
        </w:rPr>
      </w:pPr>
    </w:p>
    <w:p>
      <w:pPr>
        <w:spacing w:before="100" w:beforeAutospacing="1" w:after="100" w:afterAutospacing="1" w:line="480" w:lineRule="auto"/>
        <w:ind w:left="90" w:firstLine="630"/>
        <w:jc w:val="both"/>
        <w:rPr>
          <w:rFonts w:ascii="Times New Roman" w:hAnsi="Times New Roman" w:eastAsia="MS Mincho" w:cs="Times New Roman"/>
          <w:bCs/>
          <w:sz w:val="24"/>
          <w:szCs w:val="24"/>
          <w:lang w:eastAsia="ja-JP"/>
        </w:rPr>
      </w:pPr>
    </w:p>
    <w:p>
      <w:pPr>
        <w:pStyle w:val="3"/>
        <w:jc w:val="center"/>
        <w:rPr>
          <w:rFonts w:ascii="Times New Roman" w:hAnsi="Times New Roman" w:cs="Times New Roman"/>
          <w:sz w:val="24"/>
          <w:szCs w:val="24"/>
        </w:rPr>
      </w:pPr>
      <w:bookmarkStart w:id="131" w:name="_Toc142753419"/>
      <w:bookmarkStart w:id="132" w:name="_Toc134604164"/>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r>
        <w:rPr>
          <w:rFonts w:ascii="Times New Roman" w:hAnsi="Times New Roman" w:cs="Times New Roman"/>
          <w:sz w:val="24"/>
          <w:szCs w:val="24"/>
        </w:rPr>
        <w:t>Chapter Four: Data Analysis</w:t>
      </w:r>
      <w:bookmarkEnd w:id="131"/>
      <w:bookmarkEnd w:id="132"/>
    </w:p>
    <w:p>
      <w:pPr>
        <w:pStyle w:val="3"/>
        <w:rPr>
          <w:rFonts w:ascii="Times New Roman" w:hAnsi="Times New Roman" w:cs="Times New Roman"/>
          <w:sz w:val="24"/>
          <w:szCs w:val="24"/>
        </w:rPr>
      </w:pPr>
      <w:bookmarkStart w:id="133" w:name="_Toc142753420"/>
      <w:r>
        <w:rPr>
          <w:rFonts w:ascii="Times New Roman" w:hAnsi="Times New Roman" w:cs="Times New Roman"/>
          <w:sz w:val="24"/>
          <w:szCs w:val="24"/>
        </w:rPr>
        <w:t>Introduction</w:t>
      </w:r>
      <w:bookmarkEnd w:id="133"/>
    </w:p>
    <w:p>
      <w:pPr>
        <w:tabs>
          <w:tab w:val="left" w:pos="2610"/>
        </w:tabs>
        <w:spacing w:line="480" w:lineRule="auto"/>
        <w:ind w:firstLine="450"/>
        <w:jc w:val="both"/>
        <w:rPr>
          <w:rFonts w:ascii="Times New Roman" w:hAnsi="Times New Roman" w:cs="Times New Roman"/>
          <w:iCs/>
          <w:sz w:val="24"/>
          <w:szCs w:val="24"/>
        </w:rPr>
      </w:pPr>
      <w:r>
        <w:rPr>
          <w:rFonts w:ascii="Times New Roman" w:hAnsi="Times New Roman" w:cs="Times New Roman"/>
          <w:iCs/>
          <w:sz w:val="24"/>
          <w:szCs w:val="24"/>
        </w:rPr>
        <w:t>In order to determine how the integration of the pain assessment scale affected nurses' knowledge, attitudes, and practices regarding post-operative pain management in a significant private hospital in Uganda, this chapter presents the data gathered, the outcomes of statistical analysis performed, and the interpretation of findings. Descriptive quantitative statistics were obtained to determine the impact of integrating the pain assessment scale (PAS) on the nurse's knowledge, to ascertain the impact of integrating PAS to the nurse's attitude, and to describe the impact of integrating PAS on the nurses' practice towards post-operative pain management.</w:t>
      </w:r>
    </w:p>
    <w:p>
      <w:pPr>
        <w:tabs>
          <w:tab w:val="left" w:pos="2610"/>
        </w:tabs>
        <w:spacing w:line="480" w:lineRule="auto"/>
        <w:ind w:firstLine="450"/>
        <w:jc w:val="both"/>
        <w:rPr>
          <w:rFonts w:ascii="Times New Roman" w:hAnsi="Times New Roman" w:cs="Times New Roman"/>
          <w:iCs/>
          <w:sz w:val="24"/>
          <w:szCs w:val="24"/>
        </w:rPr>
      </w:pPr>
      <w:r>
        <w:rPr>
          <w:rFonts w:ascii="Times New Roman" w:hAnsi="Times New Roman" w:cs="Times New Roman"/>
          <w:iCs/>
          <w:sz w:val="24"/>
          <w:szCs w:val="24"/>
        </w:rPr>
        <w:t>The analysis is organized according to the following themes: demographic and background traits, knowledge of postoperative pain treatment, the nurse's attitude toward postoperative pain management, and a description of nurses' practices in postoperative pain management. After implementing the educational intervention of integrating the PAS to post-operative pain treatment, 60 nurses in total answered the questionnaire before (pretest) and after (posttest). The results showed how integrating the pain assessment scale affected the nurses' understanding attitude, and practice of post-operative pain care. Tables and figures are used to present them.</w:t>
      </w:r>
    </w:p>
    <w:p>
      <w:pPr>
        <w:pStyle w:val="3"/>
        <w:spacing w:line="480" w:lineRule="auto"/>
        <w:rPr>
          <w:rFonts w:ascii="Times New Roman" w:hAnsi="Times New Roman" w:cs="Times New Roman"/>
          <w:b w:val="0"/>
          <w:sz w:val="24"/>
          <w:szCs w:val="24"/>
        </w:rPr>
      </w:pPr>
      <w:bookmarkStart w:id="134" w:name="_Toc134604165"/>
      <w:bookmarkStart w:id="135" w:name="_Toc142753421"/>
      <w:r>
        <w:rPr>
          <w:rFonts w:ascii="Times New Roman" w:hAnsi="Times New Roman" w:cs="Times New Roman"/>
          <w:sz w:val="24"/>
          <w:szCs w:val="24"/>
        </w:rPr>
        <w:t>Demographic characteristics</w:t>
      </w:r>
      <w:bookmarkEnd w:id="134"/>
      <w:bookmarkEnd w:id="135"/>
      <w:r>
        <w:rPr>
          <w:rFonts w:ascii="Times New Roman" w:hAnsi="Times New Roman" w:cs="Times New Roman"/>
          <w:sz w:val="24"/>
          <w:szCs w:val="24"/>
        </w:rPr>
        <w:t xml:space="preserve"> </w:t>
      </w:r>
    </w:p>
    <w:p>
      <w:pPr>
        <w:tabs>
          <w:tab w:val="left" w:pos="2610"/>
        </w:tabs>
        <w:spacing w:line="480" w:lineRule="auto"/>
        <w:ind w:firstLine="450"/>
        <w:jc w:val="both"/>
        <w:rPr>
          <w:rFonts w:ascii="Times New Roman" w:hAnsi="Times New Roman" w:cs="Times New Roman"/>
          <w:sz w:val="24"/>
          <w:szCs w:val="24"/>
        </w:rPr>
      </w:pPr>
      <w:r>
        <w:rPr>
          <w:rFonts w:ascii="Times New Roman" w:hAnsi="Times New Roman" w:cs="Times New Roman"/>
          <w:bCs/>
          <w:sz w:val="24"/>
          <w:szCs w:val="24"/>
        </w:rPr>
        <w:t xml:space="preserve">The respondents were asked to give their demographic and background information in order to help describe their characteristics. The findings are presented in Figures 1-3 and Tables 1-3. </w:t>
      </w:r>
      <w:r>
        <w:rPr>
          <w:rFonts w:ascii="Times New Roman" w:hAnsi="Times New Roman" w:cs="Times New Roman"/>
          <w:sz w:val="24"/>
          <w:szCs w:val="24"/>
        </w:rPr>
        <w:t xml:space="preserve"> </w:t>
      </w:r>
    </w:p>
    <w:p>
      <w:pPr>
        <w:keepNext/>
        <w:tabs>
          <w:tab w:val="left" w:pos="2610"/>
        </w:tabs>
        <w:spacing w:line="480" w:lineRule="auto"/>
        <w:rPr>
          <w:rFonts w:ascii="Times New Roman" w:hAnsi="Times New Roman" w:cs="Times New Roman"/>
          <w:sz w:val="24"/>
          <w:szCs w:val="24"/>
        </w:rPr>
      </w:pPr>
      <w:r>
        <w:rPr>
          <w:rFonts w:ascii="Times New Roman" w:hAnsi="Times New Roman" w:cs="Times New Roman"/>
          <w:sz w:val="24"/>
          <w:szCs w:val="24"/>
        </w:rPr>
        <w:drawing>
          <wp:inline distT="0" distB="0" distL="0" distR="0">
            <wp:extent cx="5158105" cy="4044950"/>
            <wp:effectExtent l="0" t="0" r="4445" b="0"/>
            <wp:docPr id="12" name="Picture 12"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diagram&#10;&#10;Description automatically generated"/>
                    <pic:cNvPicPr>
                      <a:picLocks noChangeAspect="1"/>
                    </pic:cNvPicPr>
                  </pic:nvPicPr>
                  <pic:blipFill>
                    <a:blip r:embed="rId21"/>
                    <a:srcRect r="11362" b="16255"/>
                    <a:stretch>
                      <a:fillRect/>
                    </a:stretch>
                  </pic:blipFill>
                  <pic:spPr>
                    <a:xfrm>
                      <a:off x="0" y="0"/>
                      <a:ext cx="5210925" cy="4086410"/>
                    </a:xfrm>
                    <a:prstGeom prst="rect">
                      <a:avLst/>
                    </a:prstGeom>
                    <a:ln>
                      <a:noFill/>
                    </a:ln>
                  </pic:spPr>
                </pic:pic>
              </a:graphicData>
            </a:graphic>
          </wp:inline>
        </w:drawing>
      </w:r>
    </w:p>
    <w:p>
      <w:pPr>
        <w:pStyle w:val="9"/>
        <w:rPr>
          <w:rFonts w:ascii="Times New Roman" w:hAnsi="Times New Roman" w:cs="Times New Roman"/>
          <w:b/>
          <w:color w:val="000000" w:themeColor="text1"/>
          <w:sz w:val="24"/>
          <w:szCs w:val="24"/>
          <w14:textFill>
            <w14:solidFill>
              <w14:schemeClr w14:val="tx1"/>
            </w14:solidFill>
          </w14:textFill>
        </w:rPr>
      </w:pPr>
      <w:bookmarkStart w:id="136" w:name="_Toc134608454"/>
      <w:r>
        <w:rPr>
          <w:rFonts w:ascii="Times New Roman" w:hAnsi="Times New Roman" w:cs="Times New Roman"/>
          <w:sz w:val="24"/>
          <w:szCs w:val="24"/>
        </w:rPr>
        <w:t xml:space="preserve">Figure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Figure \* ARABIC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b/>
          <w:color w:val="000000" w:themeColor="text1"/>
          <w:sz w:val="24"/>
          <w:szCs w:val="24"/>
          <w14:textFill>
            <w14:solidFill>
              <w14:schemeClr w14:val="tx1"/>
            </w14:solidFill>
          </w14:textFill>
        </w:rPr>
        <w:t>: Age of respondents</w:t>
      </w:r>
      <w:bookmarkEnd w:id="136"/>
    </w:p>
    <w:p>
      <w:pPr>
        <w:tabs>
          <w:tab w:val="left" w:pos="2610"/>
        </w:tabs>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Figure 1 shows the age of the respondents ranged between 24 and 54 years where the largest category (70%) was between 24 and 33 years. The respondents were asked about the duration of their working experience in the surgical ward. The mean of the working experience was determined (4 years) and was used to obtain the categories in Figure 2. </w:t>
      </w:r>
    </w:p>
    <w:p>
      <w:pPr>
        <w:keepNext/>
        <w:tabs>
          <w:tab w:val="left" w:pos="2610"/>
        </w:tabs>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drawing>
          <wp:inline distT="0" distB="0" distL="0" distR="0">
            <wp:extent cx="4491990" cy="2573655"/>
            <wp:effectExtent l="0" t="0" r="381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pic:cNvPicPr>
                  </pic:nvPicPr>
                  <pic:blipFill>
                    <a:blip r:embed="rId22"/>
                    <a:srcRect r="7589" b="18852"/>
                    <a:stretch>
                      <a:fillRect/>
                    </a:stretch>
                  </pic:blipFill>
                  <pic:spPr>
                    <a:xfrm>
                      <a:off x="0" y="0"/>
                      <a:ext cx="4513908" cy="2586438"/>
                    </a:xfrm>
                    <a:prstGeom prst="rect">
                      <a:avLst/>
                    </a:prstGeom>
                    <a:ln>
                      <a:noFill/>
                    </a:ln>
                  </pic:spPr>
                </pic:pic>
              </a:graphicData>
            </a:graphic>
          </wp:inline>
        </w:drawing>
      </w:r>
    </w:p>
    <w:p>
      <w:pPr>
        <w:pStyle w:val="9"/>
        <w:rPr>
          <w:rFonts w:ascii="Times New Roman" w:hAnsi="Times New Roman" w:cs="Times New Roman"/>
          <w:sz w:val="24"/>
          <w:szCs w:val="24"/>
        </w:rPr>
      </w:pPr>
      <w:bookmarkStart w:id="137" w:name="_Toc134608455"/>
      <w:r>
        <w:rPr>
          <w:rFonts w:ascii="Times New Roman" w:hAnsi="Times New Roman" w:cs="Times New Roman"/>
          <w:sz w:val="24"/>
          <w:szCs w:val="24"/>
        </w:rPr>
        <w:t xml:space="preserve">Figure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Figure \* ARABIC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t>: Experience in years of working on the surgical ward.</w:t>
      </w:r>
      <w:bookmarkEnd w:id="137"/>
    </w:p>
    <w:p>
      <w:pPr>
        <w:tabs>
          <w:tab w:val="left" w:pos="2610"/>
        </w:tabs>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Figure 2 reveals the working experience ranged between 1 and 26 years where the majority (58.3%) had worked on the surgical ward for more than 4 years on average.  The researcher further wanted to know the respondents' overall working experience. The average of the overall working experience was determined (8 years) to formulate the categories in Figure 3 </w:t>
      </w:r>
    </w:p>
    <w:p>
      <w:pPr>
        <w:pStyle w:val="9"/>
        <w:keepNext/>
        <w:tabs>
          <w:tab w:val="left" w:pos="2610"/>
        </w:tabs>
        <w:rPr>
          <w:rFonts w:ascii="Times New Roman" w:hAnsi="Times New Roman" w:cs="Times New Roman"/>
          <w:color w:val="auto"/>
          <w:sz w:val="24"/>
          <w:szCs w:val="24"/>
        </w:rPr>
      </w:pPr>
      <w:r>
        <w:rPr>
          <w:rFonts w:ascii="Times New Roman" w:hAnsi="Times New Roman" w:cs="Times New Roman"/>
          <w:color w:val="auto"/>
          <w:sz w:val="24"/>
          <w:szCs w:val="24"/>
        </w:rPr>
        <w:drawing>
          <wp:inline distT="0" distB="0" distL="0" distR="0">
            <wp:extent cx="3657600" cy="232918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pic:cNvPicPr>
                  </pic:nvPicPr>
                  <pic:blipFill>
                    <a:blip r:embed="rId23"/>
                    <a:srcRect r="7822" b="16106"/>
                    <a:stretch>
                      <a:fillRect/>
                    </a:stretch>
                  </pic:blipFill>
                  <pic:spPr>
                    <a:xfrm>
                      <a:off x="0" y="0"/>
                      <a:ext cx="3727801" cy="2374092"/>
                    </a:xfrm>
                    <a:prstGeom prst="rect">
                      <a:avLst/>
                    </a:prstGeom>
                    <a:ln>
                      <a:noFill/>
                    </a:ln>
                  </pic:spPr>
                </pic:pic>
              </a:graphicData>
            </a:graphic>
          </wp:inline>
        </w:drawing>
      </w:r>
    </w:p>
    <w:p>
      <w:pPr>
        <w:pStyle w:val="9"/>
        <w:rPr>
          <w:rFonts w:ascii="Times New Roman" w:hAnsi="Times New Roman" w:cs="Times New Roman"/>
          <w:b/>
          <w:color w:val="000000" w:themeColor="text1"/>
          <w:sz w:val="24"/>
          <w:szCs w:val="24"/>
          <w14:textFill>
            <w14:solidFill>
              <w14:schemeClr w14:val="tx1"/>
            </w14:solidFill>
          </w14:textFill>
        </w:rPr>
      </w:pPr>
      <w:bookmarkStart w:id="138" w:name="_Toc134608456"/>
      <w:r>
        <w:rPr>
          <w:rFonts w:ascii="Times New Roman" w:hAnsi="Times New Roman" w:cs="Times New Roman"/>
          <w:sz w:val="24"/>
          <w:szCs w:val="24"/>
        </w:rPr>
        <w:t xml:space="preserve">Figure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Figure \* ARABIC </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t xml:space="preserve">  working experience in years.</w:t>
      </w:r>
      <w:bookmarkEnd w:id="138"/>
    </w:p>
    <w:p>
      <w:pPr>
        <w:tabs>
          <w:tab w:val="left" w:pos="2610"/>
        </w:tabs>
        <w:spacing w:line="480" w:lineRule="auto"/>
        <w:ind w:firstLine="720"/>
        <w:jc w:val="both"/>
        <w:rPr>
          <w:rFonts w:ascii="Times New Roman" w:hAnsi="Times New Roman" w:cs="Times New Roman"/>
          <w:sz w:val="24"/>
          <w:szCs w:val="24"/>
        </w:rPr>
      </w:pPr>
      <w:r>
        <w:rPr>
          <w:rStyle w:val="46"/>
          <w:rFonts w:ascii="Times New Roman" w:hAnsi="Times New Roman" w:cs="Times New Roman"/>
          <w:sz w:val="24"/>
          <w:szCs w:val="24"/>
        </w:rPr>
        <w:t xml:space="preserve">Figure 3 shows the overall working experience of the respondents ranged between 1 and 26 years where the majority </w:t>
      </w:r>
      <w:r>
        <w:rPr>
          <w:rFonts w:ascii="Times New Roman" w:hAnsi="Times New Roman" w:cs="Times New Roman"/>
          <w:sz w:val="24"/>
          <w:szCs w:val="24"/>
        </w:rPr>
        <w:t>(75%) had worked for less than 8 years. Additional background characteristics of the respondents are presented in Table 1.</w:t>
      </w:r>
    </w:p>
    <w:p>
      <w:pPr>
        <w:pStyle w:val="9"/>
        <w:keepNext/>
        <w:rPr>
          <w:rFonts w:ascii="Times New Roman" w:hAnsi="Times New Roman" w:cs="Times New Roman"/>
          <w:sz w:val="24"/>
          <w:szCs w:val="24"/>
        </w:rPr>
      </w:pPr>
      <w:bookmarkStart w:id="139" w:name="_Toc134608189"/>
      <w:bookmarkStart w:id="140" w:name="_Toc120852239"/>
      <w:bookmarkStart w:id="141" w:name="_Toc134604169"/>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:Background characteristics</w:t>
      </w:r>
      <w:bookmarkEnd w:id="139"/>
    </w:p>
    <w:bookmarkEnd w:id="140"/>
    <w:bookmarkEnd w:id="141"/>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15"/>
        <w:gridCol w:w="1710"/>
        <w:gridCol w:w="1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15" w:type="dxa"/>
          </w:tcPr>
          <w:p>
            <w:pPr>
              <w:tabs>
                <w:tab w:val="left" w:pos="261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Variable  </w:t>
            </w:r>
          </w:p>
        </w:tc>
        <w:tc>
          <w:tcPr>
            <w:tcW w:w="1710" w:type="dxa"/>
          </w:tcPr>
          <w:p>
            <w:pPr>
              <w:tabs>
                <w:tab w:val="left" w:pos="2610"/>
              </w:tabs>
              <w:spacing w:after="0" w:line="240" w:lineRule="auto"/>
              <w:jc w:val="center"/>
              <w:rPr>
                <w:rFonts w:ascii="Times New Roman" w:hAnsi="Times New Roman" w:cs="Times New Roman"/>
                <w:i/>
                <w:iCs/>
                <w:sz w:val="24"/>
                <w:szCs w:val="24"/>
              </w:rPr>
            </w:pPr>
            <w:r>
              <w:rPr>
                <w:rFonts w:ascii="Times New Roman" w:hAnsi="Times New Roman" w:cs="Times New Roman"/>
                <w:i/>
                <w:iCs/>
                <w:sz w:val="24"/>
                <w:szCs w:val="24"/>
              </w:rPr>
              <w:t>f</w:t>
            </w:r>
          </w:p>
        </w:tc>
        <w:tc>
          <w:tcPr>
            <w:tcW w:w="1525"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15" w:type="dxa"/>
          </w:tcPr>
          <w:p>
            <w:pPr>
              <w:tabs>
                <w:tab w:val="left" w:pos="261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Sex of respondent </w:t>
            </w:r>
          </w:p>
          <w:p>
            <w:pPr>
              <w:tabs>
                <w:tab w:val="left" w:pos="261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Male </w:t>
            </w:r>
          </w:p>
          <w:p>
            <w:pPr>
              <w:tabs>
                <w:tab w:val="left" w:pos="261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Female </w:t>
            </w:r>
          </w:p>
        </w:tc>
        <w:tc>
          <w:tcPr>
            <w:tcW w:w="1710" w:type="dxa"/>
          </w:tcPr>
          <w:p>
            <w:pPr>
              <w:tabs>
                <w:tab w:val="left" w:pos="2610"/>
              </w:tabs>
              <w:spacing w:after="0" w:line="240" w:lineRule="auto"/>
              <w:jc w:val="center"/>
              <w:rPr>
                <w:rFonts w:ascii="Times New Roman" w:hAnsi="Times New Roman" w:cs="Times New Roman"/>
                <w:sz w:val="24"/>
                <w:szCs w:val="24"/>
              </w:rPr>
            </w:pP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1525" w:type="dxa"/>
          </w:tcPr>
          <w:p>
            <w:pPr>
              <w:tabs>
                <w:tab w:val="left" w:pos="2610"/>
              </w:tabs>
              <w:spacing w:after="0" w:line="240" w:lineRule="auto"/>
              <w:jc w:val="center"/>
              <w:rPr>
                <w:rFonts w:ascii="Times New Roman" w:hAnsi="Times New Roman" w:cs="Times New Roman"/>
                <w:sz w:val="24"/>
                <w:szCs w:val="24"/>
              </w:rPr>
            </w:pP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19.7</w:t>
            </w: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80.3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15" w:type="dxa"/>
          </w:tcPr>
          <w:p>
            <w:pPr>
              <w:tabs>
                <w:tab w:val="left" w:pos="261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Qualification </w:t>
            </w:r>
          </w:p>
          <w:p>
            <w:pPr>
              <w:tabs>
                <w:tab w:val="left" w:pos="261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Certificate </w:t>
            </w:r>
          </w:p>
          <w:p>
            <w:pPr>
              <w:tabs>
                <w:tab w:val="left" w:pos="261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Diploma</w:t>
            </w:r>
          </w:p>
          <w:p>
            <w:pPr>
              <w:tabs>
                <w:tab w:val="left" w:pos="261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Degree</w:t>
            </w:r>
          </w:p>
          <w:p>
            <w:pPr>
              <w:tabs>
                <w:tab w:val="left" w:pos="2610"/>
              </w:tabs>
              <w:spacing w:after="0" w:line="240" w:lineRule="auto"/>
              <w:rPr>
                <w:rFonts w:ascii="Times New Roman" w:hAnsi="Times New Roman" w:cs="Times New Roman"/>
                <w:sz w:val="24"/>
                <w:szCs w:val="24"/>
              </w:rPr>
            </w:pPr>
          </w:p>
        </w:tc>
        <w:tc>
          <w:tcPr>
            <w:tcW w:w="1710" w:type="dxa"/>
          </w:tcPr>
          <w:p>
            <w:pPr>
              <w:tabs>
                <w:tab w:val="left" w:pos="2610"/>
              </w:tabs>
              <w:spacing w:after="0" w:line="240" w:lineRule="auto"/>
              <w:jc w:val="center"/>
              <w:rPr>
                <w:rFonts w:ascii="Times New Roman" w:hAnsi="Times New Roman" w:cs="Times New Roman"/>
                <w:sz w:val="24"/>
                <w:szCs w:val="24"/>
              </w:rPr>
            </w:pP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39</w:t>
            </w: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20</w:t>
            </w: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525" w:type="dxa"/>
          </w:tcPr>
          <w:p>
            <w:pPr>
              <w:tabs>
                <w:tab w:val="left" w:pos="2610"/>
              </w:tabs>
              <w:spacing w:after="0" w:line="240" w:lineRule="auto"/>
              <w:jc w:val="center"/>
              <w:rPr>
                <w:rFonts w:ascii="Times New Roman" w:hAnsi="Times New Roman" w:cs="Times New Roman"/>
                <w:sz w:val="24"/>
                <w:szCs w:val="24"/>
              </w:rPr>
            </w:pP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63.9</w:t>
            </w: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34.4</w:t>
            </w: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1.6</w:t>
            </w:r>
          </w:p>
          <w:p>
            <w:pPr>
              <w:tabs>
                <w:tab w:val="left" w:pos="2610"/>
              </w:tabs>
              <w:spacing w:after="0" w:line="240" w:lineRule="auto"/>
              <w:jc w:val="center"/>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15" w:type="dxa"/>
          </w:tcPr>
          <w:p>
            <w:pPr>
              <w:tabs>
                <w:tab w:val="left" w:pos="2610"/>
              </w:tabs>
              <w:spacing w:after="0" w:line="240" w:lineRule="auto"/>
              <w:rPr>
                <w:rFonts w:ascii="Times New Roman" w:hAnsi="Times New Roman" w:cs="Times New Roman"/>
                <w:sz w:val="24"/>
                <w:szCs w:val="24"/>
              </w:rPr>
            </w:pPr>
            <w:r>
              <w:rPr>
                <w:rFonts w:ascii="Times New Roman" w:hAnsi="Times New Roman" w:cs="Times New Roman"/>
                <w:sz w:val="24"/>
                <w:szCs w:val="24"/>
              </w:rPr>
              <w:t>Orientation to pain assessment</w:t>
            </w:r>
          </w:p>
          <w:p>
            <w:pPr>
              <w:tabs>
                <w:tab w:val="left" w:pos="2610"/>
              </w:tabs>
              <w:spacing w:after="0" w:line="240" w:lineRule="auto"/>
              <w:ind w:left="720"/>
              <w:rPr>
                <w:rFonts w:ascii="Times New Roman" w:hAnsi="Times New Roman" w:cs="Times New Roman"/>
                <w:sz w:val="24"/>
                <w:szCs w:val="24"/>
              </w:rPr>
            </w:pPr>
          </w:p>
          <w:p>
            <w:pPr>
              <w:tabs>
                <w:tab w:val="left" w:pos="261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CPD</w:t>
            </w:r>
          </w:p>
          <w:p>
            <w:pPr>
              <w:tabs>
                <w:tab w:val="left" w:pos="261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CNE </w:t>
            </w:r>
          </w:p>
          <w:p>
            <w:pPr>
              <w:tabs>
                <w:tab w:val="left" w:pos="261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 xml:space="preserve">Others </w:t>
            </w:r>
          </w:p>
          <w:p>
            <w:pPr>
              <w:tabs>
                <w:tab w:val="left" w:pos="2610"/>
              </w:tabs>
              <w:spacing w:after="0" w:line="240" w:lineRule="auto"/>
              <w:rPr>
                <w:rFonts w:ascii="Times New Roman" w:hAnsi="Times New Roman" w:cs="Times New Roman"/>
                <w:sz w:val="24"/>
                <w:szCs w:val="24"/>
              </w:rPr>
            </w:pPr>
          </w:p>
        </w:tc>
        <w:tc>
          <w:tcPr>
            <w:tcW w:w="1710" w:type="dxa"/>
          </w:tcPr>
          <w:p>
            <w:pPr>
              <w:tabs>
                <w:tab w:val="left" w:pos="2610"/>
              </w:tabs>
              <w:spacing w:after="0" w:line="240" w:lineRule="auto"/>
              <w:jc w:val="center"/>
              <w:rPr>
                <w:rFonts w:ascii="Times New Roman" w:hAnsi="Times New Roman" w:cs="Times New Roman"/>
                <w:sz w:val="24"/>
                <w:szCs w:val="24"/>
              </w:rPr>
            </w:pPr>
          </w:p>
          <w:p>
            <w:pPr>
              <w:tabs>
                <w:tab w:val="left" w:pos="2610"/>
              </w:tabs>
              <w:spacing w:after="0" w:line="240" w:lineRule="auto"/>
              <w:rPr>
                <w:rFonts w:ascii="Times New Roman" w:hAnsi="Times New Roman" w:cs="Times New Roman"/>
                <w:sz w:val="24"/>
                <w:szCs w:val="24"/>
              </w:rPr>
            </w:pP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30</w:t>
            </w: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18</w:t>
            </w:r>
          </w:p>
          <w:p>
            <w:pPr>
              <w:tabs>
                <w:tab w:val="left" w:pos="2610"/>
              </w:tabs>
              <w:spacing w:after="0" w:line="240" w:lineRule="auto"/>
              <w:jc w:val="center"/>
              <w:rPr>
                <w:rFonts w:ascii="Times New Roman" w:hAnsi="Times New Roman" w:cs="Times New Roman"/>
                <w:sz w:val="24"/>
                <w:szCs w:val="24"/>
              </w:rPr>
            </w:pPr>
          </w:p>
        </w:tc>
        <w:tc>
          <w:tcPr>
            <w:tcW w:w="1525" w:type="dxa"/>
          </w:tcPr>
          <w:p>
            <w:pPr>
              <w:tabs>
                <w:tab w:val="left" w:pos="2610"/>
              </w:tabs>
              <w:spacing w:after="0" w:line="240" w:lineRule="auto"/>
              <w:jc w:val="center"/>
              <w:rPr>
                <w:rFonts w:ascii="Times New Roman" w:hAnsi="Times New Roman" w:cs="Times New Roman"/>
                <w:sz w:val="24"/>
                <w:szCs w:val="24"/>
              </w:rPr>
            </w:pPr>
          </w:p>
          <w:p>
            <w:pPr>
              <w:tabs>
                <w:tab w:val="left" w:pos="2610"/>
              </w:tabs>
              <w:spacing w:after="0" w:line="240" w:lineRule="auto"/>
              <w:rPr>
                <w:rFonts w:ascii="Times New Roman" w:hAnsi="Times New Roman" w:cs="Times New Roman"/>
                <w:sz w:val="24"/>
                <w:szCs w:val="24"/>
              </w:rPr>
            </w:pP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19.7</w:t>
            </w:r>
          </w:p>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49.2</w:t>
            </w:r>
          </w:p>
          <w:p>
            <w:pPr>
              <w:keepNext/>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31.1</w:t>
            </w:r>
          </w:p>
        </w:tc>
      </w:tr>
    </w:tbl>
    <w:p>
      <w:pPr>
        <w:tabs>
          <w:tab w:val="left" w:pos="2610"/>
        </w:tabs>
        <w:rPr>
          <w:rFonts w:ascii="Times New Roman" w:hAnsi="Times New Roman" w:cs="Times New Roman"/>
          <w:sz w:val="24"/>
          <w:szCs w:val="24"/>
        </w:rPr>
      </w:pPr>
      <w:r>
        <w:rPr>
          <w:rFonts w:ascii="Times New Roman" w:hAnsi="Times New Roman" w:cs="Times New Roman"/>
          <w:sz w:val="24"/>
          <w:szCs w:val="24"/>
        </w:rPr>
        <w:tab/>
      </w:r>
    </w:p>
    <w:p>
      <w:pPr>
        <w:pStyle w:val="9"/>
        <w:tabs>
          <w:tab w:val="left" w:pos="2610"/>
        </w:tabs>
        <w:spacing w:line="480" w:lineRule="auto"/>
        <w:ind w:firstLine="720"/>
        <w:jc w:val="both"/>
        <w:rPr>
          <w:rFonts w:ascii="Times New Roman" w:hAnsi="Times New Roman" w:cs="Times New Roman"/>
          <w:i w:val="0"/>
          <w:iCs w:val="0"/>
          <w:color w:val="auto"/>
          <w:sz w:val="24"/>
          <w:szCs w:val="24"/>
        </w:rPr>
      </w:pPr>
      <w:bookmarkStart w:id="142" w:name="_Hlk107657716"/>
      <w:bookmarkStart w:id="143" w:name="_Hlk108531983"/>
      <w:r>
        <w:rPr>
          <w:rFonts w:ascii="Times New Roman" w:hAnsi="Times New Roman" w:cs="Times New Roman"/>
          <w:i w:val="0"/>
          <w:iCs w:val="0"/>
          <w:color w:val="auto"/>
          <w:sz w:val="24"/>
          <w:szCs w:val="24"/>
        </w:rPr>
        <w:t xml:space="preserve">Table 1 reveals that respondents were mostly female (80.3 %), most (63.9%) held a certificate in nursing, and about half of them (49.2%) had received orientation to pain assessment through continued nursing education (CNE) seminars. </w:t>
      </w:r>
    </w:p>
    <w:p>
      <w:pPr>
        <w:pStyle w:val="3"/>
        <w:spacing w:line="480" w:lineRule="auto"/>
        <w:rPr>
          <w:rFonts w:ascii="Times New Roman" w:hAnsi="Times New Roman" w:cs="Times New Roman"/>
          <w:b w:val="0"/>
          <w:sz w:val="24"/>
          <w:szCs w:val="24"/>
        </w:rPr>
      </w:pPr>
      <w:bookmarkStart w:id="144" w:name="_Toc134604170"/>
      <w:bookmarkStart w:id="145" w:name="_Toc142753422"/>
      <w:bookmarkStart w:id="146" w:name="_Hlk114314988"/>
      <w:r>
        <w:rPr>
          <w:rFonts w:ascii="Times New Roman" w:hAnsi="Times New Roman" w:cs="Times New Roman"/>
          <w:sz w:val="24"/>
          <w:szCs w:val="24"/>
        </w:rPr>
        <w:t>Pretest Knowledge of Postoperative Pain Management on the Surgical Ward</w:t>
      </w:r>
      <w:bookmarkEnd w:id="144"/>
      <w:bookmarkEnd w:id="145"/>
      <w:r>
        <w:rPr>
          <w:rFonts w:ascii="Times New Roman" w:hAnsi="Times New Roman" w:cs="Times New Roman"/>
          <w:sz w:val="24"/>
          <w:szCs w:val="24"/>
        </w:rPr>
        <w:t xml:space="preserve">                   </w:t>
      </w:r>
    </w:p>
    <w:bookmarkEnd w:id="146"/>
    <w:p>
      <w:pPr>
        <w:pStyle w:val="9"/>
        <w:tabs>
          <w:tab w:val="left" w:pos="2610"/>
        </w:tabs>
        <w:spacing w:line="480" w:lineRule="auto"/>
        <w:ind w:firstLine="720"/>
        <w:jc w:val="both"/>
        <w:rPr>
          <w:rFonts w:ascii="Times New Roman" w:hAnsi="Times New Roman" w:cs="Times New Roman"/>
          <w:i w:val="0"/>
          <w:iCs w:val="0"/>
          <w:color w:val="auto"/>
          <w:sz w:val="24"/>
          <w:szCs w:val="24"/>
        </w:rPr>
      </w:pPr>
      <w:bookmarkStart w:id="147" w:name="_Hlk116121793"/>
      <w:r>
        <w:rPr>
          <w:rFonts w:ascii="Times New Roman" w:hAnsi="Times New Roman" w:cs="Times New Roman"/>
          <w:i w:val="0"/>
          <w:iCs w:val="0"/>
          <w:color w:val="auto"/>
          <w:sz w:val="24"/>
          <w:szCs w:val="24"/>
        </w:rPr>
        <w:t xml:space="preserve"> </w:t>
      </w:r>
      <w:bookmarkStart w:id="148" w:name="_Hlk109477062"/>
      <w:r>
        <w:rPr>
          <w:rFonts w:ascii="Times New Roman" w:hAnsi="Times New Roman" w:cs="Times New Roman"/>
          <w:i w:val="0"/>
          <w:iCs w:val="0"/>
          <w:color w:val="auto"/>
          <w:sz w:val="24"/>
          <w:szCs w:val="24"/>
        </w:rPr>
        <w:t>On a 0–10 number rating scale, respondents were asked how they would rank their level of pain (NRS).</w:t>
      </w:r>
      <w:r>
        <w:rPr>
          <w:rFonts w:ascii="Times New Roman" w:hAnsi="Times New Roman" w:cs="Times New Roman"/>
          <w:bCs/>
          <w:i w:val="0"/>
          <w:iCs w:val="0"/>
          <w:color w:val="auto"/>
          <w:sz w:val="24"/>
          <w:szCs w:val="24"/>
        </w:rPr>
        <w:t xml:space="preserve"> The questions </w:t>
      </w:r>
      <w:bookmarkStart w:id="149" w:name="_Hlk111621947"/>
      <w:r>
        <w:rPr>
          <w:rFonts w:ascii="Times New Roman" w:hAnsi="Times New Roman" w:cs="Times New Roman"/>
          <w:bCs/>
          <w:i w:val="0"/>
          <w:iCs w:val="0"/>
          <w:color w:val="auto"/>
          <w:sz w:val="24"/>
          <w:szCs w:val="24"/>
        </w:rPr>
        <w:t>in</w:t>
      </w:r>
      <w:r>
        <w:rPr>
          <w:rFonts w:ascii="Times New Roman" w:hAnsi="Times New Roman" w:cs="Times New Roman"/>
          <w:i w:val="0"/>
          <w:iCs w:val="0"/>
          <w:color w:val="auto"/>
          <w:sz w:val="24"/>
          <w:szCs w:val="24"/>
        </w:rPr>
        <w:t xml:space="preserve"> Table two (2 and 4) were stated such that the respondents who ticked “no” were likely to be knowing the correct way of rating POP on the 0-10 NRS. The findings are presented in Table 2.</w:t>
      </w:r>
    </w:p>
    <w:p/>
    <w:p/>
    <w:p/>
    <w:bookmarkEnd w:id="147"/>
    <w:bookmarkEnd w:id="149"/>
    <w:p>
      <w:pPr>
        <w:pStyle w:val="9"/>
        <w:keepNext/>
        <w:rPr>
          <w:rFonts w:ascii="Times New Roman" w:hAnsi="Times New Roman" w:cs="Times New Roman"/>
          <w:sz w:val="24"/>
          <w:szCs w:val="24"/>
        </w:rPr>
      </w:pPr>
      <w:bookmarkStart w:id="150" w:name="_Toc134608190"/>
      <w:bookmarkStart w:id="151" w:name="_Toc120852241"/>
      <w:bookmarkStart w:id="152" w:name="_Toc134604171"/>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t xml:space="preserve"> Scoring post-operative pain in the surgical ward.</w:t>
      </w:r>
      <w:bookmarkEnd w:id="150"/>
    </w:p>
    <w:bookmarkEnd w:id="148"/>
    <w:bookmarkEnd w:id="151"/>
    <w:bookmarkEnd w:id="152"/>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83"/>
        <w:gridCol w:w="1176"/>
        <w:gridCol w:w="8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283" w:type="dxa"/>
          </w:tcPr>
          <w:p>
            <w:pPr>
              <w:tabs>
                <w:tab w:val="left" w:pos="2610"/>
              </w:tabs>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Variable</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i/>
                <w:iCs/>
                <w:sz w:val="20"/>
                <w:szCs w:val="20"/>
              </w:rPr>
            </w:pPr>
            <w:r>
              <w:rPr>
                <w:rFonts w:ascii="Times New Roman" w:hAnsi="Times New Roman" w:cs="Times New Roman"/>
                <w:i/>
                <w:iCs/>
                <w:sz w:val="20"/>
                <w:szCs w:val="20"/>
              </w:rPr>
              <w:t>f</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trPr>
        <w:tc>
          <w:tcPr>
            <w:tcW w:w="7283" w:type="dxa"/>
          </w:tcPr>
          <w:p>
            <w:pPr>
              <w:pStyle w:val="24"/>
              <w:numPr>
                <w:ilvl w:val="0"/>
                <w:numId w:val="2"/>
              </w:numPr>
              <w:tabs>
                <w:tab w:val="left" w:pos="2610"/>
              </w:tabs>
              <w:rPr>
                <w:sz w:val="20"/>
                <w:szCs w:val="20"/>
              </w:rPr>
            </w:pPr>
            <w:r>
              <w:rPr>
                <w:sz w:val="20"/>
                <w:szCs w:val="20"/>
              </w:rPr>
              <w:t>On the NRS, is seven unmanageable pain?</w:t>
            </w:r>
          </w:p>
          <w:p>
            <w:pPr>
              <w:tabs>
                <w:tab w:val="left" w:pos="2610"/>
              </w:tabs>
              <w:autoSpaceDE w:val="0"/>
              <w:autoSpaceDN w:val="0"/>
              <w:adjustRightInd w:val="0"/>
              <w:spacing w:after="0" w:line="240" w:lineRule="auto"/>
              <w:ind w:left="720"/>
              <w:rPr>
                <w:rFonts w:ascii="Times New Roman" w:hAnsi="Times New Roman" w:cs="Times New Roman"/>
                <w:sz w:val="20"/>
                <w:szCs w:val="20"/>
              </w:rPr>
            </w:pPr>
            <w:r>
              <w:rPr>
                <w:rFonts w:ascii="Times New Roman" w:hAnsi="Times New Roman" w:cs="Times New Roman"/>
                <w:sz w:val="20"/>
                <w:szCs w:val="20"/>
              </w:rPr>
              <w:t>No</w:t>
            </w:r>
          </w:p>
          <w:p>
            <w:pPr>
              <w:tabs>
                <w:tab w:val="left" w:pos="2610"/>
              </w:tabs>
              <w:autoSpaceDE w:val="0"/>
              <w:autoSpaceDN w:val="0"/>
              <w:adjustRightInd w:val="0"/>
              <w:spacing w:after="0" w:line="240" w:lineRule="auto"/>
              <w:ind w:left="720"/>
              <w:rPr>
                <w:rFonts w:ascii="Times New Roman" w:hAnsi="Times New Roman" w:cs="Times New Roman"/>
                <w:sz w:val="20"/>
                <w:szCs w:val="20"/>
              </w:rPr>
            </w:pPr>
            <w:r>
              <w:rPr>
                <w:rFonts w:ascii="Times New Roman" w:hAnsi="Times New Roman" w:cs="Times New Roman"/>
                <w:sz w:val="20"/>
                <w:szCs w:val="20"/>
              </w:rPr>
              <w:t>Yes</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38</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22</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63.3</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3" w:type="dxa"/>
          </w:tcPr>
          <w:p>
            <w:pPr>
              <w:pStyle w:val="24"/>
              <w:numPr>
                <w:ilvl w:val="0"/>
                <w:numId w:val="2"/>
              </w:numPr>
              <w:tabs>
                <w:tab w:val="left" w:pos="2610"/>
              </w:tabs>
              <w:rPr>
                <w:sz w:val="20"/>
                <w:szCs w:val="20"/>
              </w:rPr>
            </w:pPr>
            <w:r>
              <w:rPr>
                <w:sz w:val="20"/>
                <w:szCs w:val="20"/>
              </w:rPr>
              <w:t>On NRS six denotes severe pain</w:t>
            </w:r>
          </w:p>
          <w:p>
            <w:pPr>
              <w:tabs>
                <w:tab w:val="left" w:pos="2610"/>
              </w:tabs>
              <w:autoSpaceDE w:val="0"/>
              <w:autoSpaceDN w:val="0"/>
              <w:adjustRightInd w:val="0"/>
              <w:spacing w:after="0" w:line="240" w:lineRule="auto"/>
              <w:ind w:left="720"/>
              <w:rPr>
                <w:rFonts w:ascii="Times New Roman" w:hAnsi="Times New Roman" w:cs="Times New Roman"/>
                <w:sz w:val="20"/>
                <w:szCs w:val="20"/>
              </w:rPr>
            </w:pPr>
            <w:r>
              <w:rPr>
                <w:rFonts w:ascii="Times New Roman" w:hAnsi="Times New Roman" w:cs="Times New Roman"/>
                <w:sz w:val="20"/>
                <w:szCs w:val="20"/>
              </w:rPr>
              <w:t>No</w:t>
            </w:r>
          </w:p>
          <w:p>
            <w:pPr>
              <w:tabs>
                <w:tab w:val="left" w:pos="2610"/>
              </w:tabs>
              <w:autoSpaceDE w:val="0"/>
              <w:autoSpaceDN w:val="0"/>
              <w:adjustRightInd w:val="0"/>
              <w:spacing w:after="0" w:line="240" w:lineRule="auto"/>
              <w:ind w:left="720"/>
              <w:rPr>
                <w:rFonts w:ascii="Times New Roman" w:hAnsi="Times New Roman" w:cs="Times New Roman"/>
                <w:sz w:val="20"/>
                <w:szCs w:val="20"/>
              </w:rPr>
            </w:pPr>
            <w:r>
              <w:rPr>
                <w:rFonts w:ascii="Times New Roman" w:hAnsi="Times New Roman" w:cs="Times New Roman"/>
                <w:sz w:val="20"/>
                <w:szCs w:val="20"/>
              </w:rPr>
              <w:t xml:space="preserve">Yes </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37</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23</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61.7</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3" w:type="dxa"/>
          </w:tcPr>
          <w:p>
            <w:pPr>
              <w:pStyle w:val="24"/>
              <w:numPr>
                <w:ilvl w:val="0"/>
                <w:numId w:val="2"/>
              </w:numPr>
              <w:tabs>
                <w:tab w:val="left" w:pos="2610"/>
              </w:tabs>
              <w:autoSpaceDE w:val="0"/>
              <w:autoSpaceDN w:val="0"/>
              <w:adjustRightInd w:val="0"/>
              <w:rPr>
                <w:sz w:val="20"/>
                <w:szCs w:val="20"/>
              </w:rPr>
            </w:pPr>
            <w:r>
              <w:rPr>
                <w:sz w:val="20"/>
                <w:szCs w:val="20"/>
              </w:rPr>
              <w:t xml:space="preserve">Does 2 on the NRS denote no pain at all? </w:t>
            </w:r>
          </w:p>
          <w:p>
            <w:pPr>
              <w:tabs>
                <w:tab w:val="left" w:pos="2610"/>
              </w:tabs>
              <w:autoSpaceDE w:val="0"/>
              <w:autoSpaceDN w:val="0"/>
              <w:adjustRightInd w:val="0"/>
              <w:spacing w:after="0" w:line="240" w:lineRule="auto"/>
              <w:ind w:left="720"/>
              <w:rPr>
                <w:rFonts w:ascii="Times New Roman" w:hAnsi="Times New Roman" w:cs="Times New Roman"/>
                <w:sz w:val="20"/>
                <w:szCs w:val="20"/>
              </w:rPr>
            </w:pPr>
            <w:r>
              <w:rPr>
                <w:rFonts w:ascii="Times New Roman" w:hAnsi="Times New Roman" w:cs="Times New Roman"/>
                <w:sz w:val="20"/>
                <w:szCs w:val="20"/>
              </w:rPr>
              <w:t>No</w:t>
            </w:r>
          </w:p>
          <w:p>
            <w:pPr>
              <w:tabs>
                <w:tab w:val="left" w:pos="2610"/>
              </w:tabs>
              <w:autoSpaceDE w:val="0"/>
              <w:autoSpaceDN w:val="0"/>
              <w:adjustRightInd w:val="0"/>
              <w:spacing w:after="0" w:line="240" w:lineRule="auto"/>
              <w:ind w:left="720"/>
              <w:rPr>
                <w:rFonts w:ascii="Times New Roman" w:hAnsi="Times New Roman" w:cs="Times New Roman"/>
                <w:sz w:val="20"/>
                <w:szCs w:val="20"/>
              </w:rPr>
            </w:pPr>
            <w:r>
              <w:rPr>
                <w:rFonts w:ascii="Times New Roman" w:hAnsi="Times New Roman" w:cs="Times New Roman"/>
                <w:sz w:val="20"/>
                <w:szCs w:val="20"/>
              </w:rPr>
              <w:t>Yes</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35</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25</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58.3</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3" w:type="dxa"/>
          </w:tcPr>
          <w:p>
            <w:pPr>
              <w:pStyle w:val="24"/>
              <w:numPr>
                <w:ilvl w:val="0"/>
                <w:numId w:val="2"/>
              </w:numPr>
              <w:tabs>
                <w:tab w:val="left" w:pos="2610"/>
              </w:tabs>
              <w:autoSpaceDE w:val="0"/>
              <w:autoSpaceDN w:val="0"/>
              <w:adjustRightInd w:val="0"/>
              <w:rPr>
                <w:sz w:val="20"/>
                <w:szCs w:val="20"/>
              </w:rPr>
            </w:pPr>
            <w:r>
              <w:rPr>
                <w:sz w:val="20"/>
                <w:szCs w:val="20"/>
                <w:shd w:val="clear" w:color="auto" w:fill="FFFFFF"/>
              </w:rPr>
              <w:t xml:space="preserve">On a scale of 0-10, post-operative patients with 5/10 do not need any analgesic. </w:t>
            </w:r>
          </w:p>
          <w:p>
            <w:pPr>
              <w:pStyle w:val="24"/>
              <w:tabs>
                <w:tab w:val="left" w:pos="2610"/>
              </w:tabs>
              <w:autoSpaceDE w:val="0"/>
              <w:autoSpaceDN w:val="0"/>
              <w:adjustRightInd w:val="0"/>
              <w:rPr>
                <w:sz w:val="20"/>
                <w:szCs w:val="20"/>
              </w:rPr>
            </w:pPr>
            <w:r>
              <w:rPr>
                <w:sz w:val="20"/>
                <w:szCs w:val="20"/>
              </w:rPr>
              <w:t>No</w:t>
            </w:r>
          </w:p>
          <w:p>
            <w:pPr>
              <w:tabs>
                <w:tab w:val="left" w:pos="2610"/>
              </w:tabs>
              <w:autoSpaceDE w:val="0"/>
              <w:autoSpaceDN w:val="0"/>
              <w:adjustRightInd w:val="0"/>
              <w:spacing w:after="0" w:line="240" w:lineRule="auto"/>
              <w:ind w:left="360"/>
              <w:rPr>
                <w:rFonts w:ascii="Times New Roman" w:hAnsi="Times New Roman" w:cs="Times New Roman"/>
                <w:sz w:val="20"/>
                <w:szCs w:val="20"/>
              </w:rPr>
            </w:pPr>
            <w:r>
              <w:rPr>
                <w:rFonts w:ascii="Times New Roman" w:hAnsi="Times New Roman" w:cs="Times New Roman"/>
                <w:sz w:val="20"/>
                <w:szCs w:val="20"/>
              </w:rPr>
              <w:t xml:space="preserve">     Yes</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44</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16</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73.3</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3" w:type="dxa"/>
          </w:tcPr>
          <w:p>
            <w:pPr>
              <w:pStyle w:val="24"/>
              <w:numPr>
                <w:ilvl w:val="0"/>
                <w:numId w:val="2"/>
              </w:numPr>
              <w:tabs>
                <w:tab w:val="left" w:pos="2610"/>
              </w:tabs>
              <w:rPr>
                <w:sz w:val="20"/>
                <w:szCs w:val="20"/>
              </w:rPr>
            </w:pPr>
            <w:bookmarkStart w:id="153" w:name="_Hlk111027529"/>
            <w:r>
              <w:rPr>
                <w:sz w:val="20"/>
                <w:szCs w:val="20"/>
              </w:rPr>
              <w:t>On NRS three represents mild pain</w:t>
            </w:r>
          </w:p>
          <w:bookmarkEnd w:id="153"/>
          <w:p>
            <w:pPr>
              <w:tabs>
                <w:tab w:val="left" w:pos="2610"/>
              </w:tabs>
              <w:autoSpaceDE w:val="0"/>
              <w:autoSpaceDN w:val="0"/>
              <w:adjustRightInd w:val="0"/>
              <w:spacing w:after="0" w:line="240" w:lineRule="auto"/>
              <w:ind w:left="720"/>
              <w:rPr>
                <w:rFonts w:ascii="Times New Roman" w:hAnsi="Times New Roman" w:cs="Times New Roman"/>
                <w:sz w:val="20"/>
                <w:szCs w:val="20"/>
              </w:rPr>
            </w:pPr>
            <w:r>
              <w:rPr>
                <w:rFonts w:ascii="Times New Roman" w:hAnsi="Times New Roman" w:cs="Times New Roman"/>
                <w:sz w:val="20"/>
                <w:szCs w:val="20"/>
              </w:rPr>
              <w:t>No</w:t>
            </w:r>
          </w:p>
          <w:p>
            <w:pPr>
              <w:tabs>
                <w:tab w:val="left" w:pos="2610"/>
              </w:tabs>
              <w:autoSpaceDE w:val="0"/>
              <w:autoSpaceDN w:val="0"/>
              <w:adjustRightInd w:val="0"/>
              <w:spacing w:after="0" w:line="240" w:lineRule="auto"/>
              <w:ind w:left="720"/>
              <w:rPr>
                <w:rFonts w:ascii="Times New Roman" w:hAnsi="Times New Roman" w:cs="Times New Roman"/>
                <w:sz w:val="20"/>
                <w:szCs w:val="20"/>
              </w:rPr>
            </w:pPr>
            <w:r>
              <w:rPr>
                <w:rFonts w:ascii="Times New Roman" w:hAnsi="Times New Roman" w:cs="Times New Roman"/>
                <w:sz w:val="20"/>
                <w:szCs w:val="20"/>
              </w:rPr>
              <w:t>Yes</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12</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48</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20.0</w:t>
            </w:r>
          </w:p>
          <w:p>
            <w:pPr>
              <w:keepNext/>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3" w:type="dxa"/>
          </w:tcPr>
          <w:p>
            <w:pPr>
              <w:pStyle w:val="24"/>
              <w:numPr>
                <w:ilvl w:val="0"/>
                <w:numId w:val="2"/>
              </w:numPr>
              <w:tabs>
                <w:tab w:val="left" w:pos="2610"/>
              </w:tabs>
              <w:rPr>
                <w:sz w:val="20"/>
                <w:szCs w:val="20"/>
              </w:rPr>
            </w:pPr>
            <w:r>
              <w:rPr>
                <w:sz w:val="20"/>
                <w:szCs w:val="20"/>
              </w:rPr>
              <w:t>Today is Phillip’s 1st post-operative day, and as you enter his room, he smiles at you and continues talking and joking with his visitor. Is his pain intensity 10 on the NRS?</w:t>
            </w:r>
          </w:p>
          <w:p>
            <w:pPr>
              <w:pStyle w:val="24"/>
              <w:tabs>
                <w:tab w:val="left" w:pos="2610"/>
              </w:tabs>
              <w:rPr>
                <w:sz w:val="20"/>
                <w:szCs w:val="20"/>
              </w:rPr>
            </w:pPr>
            <w:r>
              <w:rPr>
                <w:sz w:val="20"/>
                <w:szCs w:val="20"/>
              </w:rPr>
              <w:t>No</w:t>
            </w:r>
          </w:p>
          <w:p>
            <w:pPr>
              <w:pStyle w:val="24"/>
              <w:tabs>
                <w:tab w:val="left" w:pos="2610"/>
              </w:tabs>
              <w:rPr>
                <w:sz w:val="20"/>
                <w:szCs w:val="20"/>
              </w:rPr>
            </w:pPr>
            <w:r>
              <w:rPr>
                <w:sz w:val="20"/>
                <w:szCs w:val="20"/>
              </w:rPr>
              <w:t>Yes</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39</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21</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65.0</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3" w:type="dxa"/>
          </w:tcPr>
          <w:p>
            <w:pPr>
              <w:pStyle w:val="24"/>
              <w:numPr>
                <w:ilvl w:val="0"/>
                <w:numId w:val="2"/>
              </w:numPr>
              <w:tabs>
                <w:tab w:val="left" w:pos="2610"/>
              </w:tabs>
              <w:rPr>
                <w:sz w:val="20"/>
                <w:szCs w:val="20"/>
              </w:rPr>
            </w:pPr>
            <w:r>
              <w:rPr>
                <w:sz w:val="20"/>
                <w:szCs w:val="20"/>
              </w:rPr>
              <w:t>A patient report” I think about my pain all the time and give up many activities because of it”.  Is it right to score her 8 on the NRS?</w:t>
            </w:r>
          </w:p>
          <w:p>
            <w:pPr>
              <w:pStyle w:val="24"/>
              <w:tabs>
                <w:tab w:val="left" w:pos="2610"/>
              </w:tabs>
              <w:rPr>
                <w:sz w:val="20"/>
                <w:szCs w:val="20"/>
              </w:rPr>
            </w:pPr>
            <w:r>
              <w:rPr>
                <w:sz w:val="20"/>
                <w:szCs w:val="20"/>
              </w:rPr>
              <w:t>No</w:t>
            </w:r>
          </w:p>
          <w:p>
            <w:pPr>
              <w:pStyle w:val="24"/>
              <w:tabs>
                <w:tab w:val="left" w:pos="2610"/>
              </w:tabs>
              <w:rPr>
                <w:sz w:val="20"/>
                <w:szCs w:val="20"/>
              </w:rPr>
            </w:pPr>
            <w:r>
              <w:rPr>
                <w:sz w:val="20"/>
                <w:szCs w:val="20"/>
              </w:rPr>
              <w:t>Yes</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20</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40</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33.3</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66.7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3" w:type="dxa"/>
          </w:tcPr>
          <w:p>
            <w:pPr>
              <w:pStyle w:val="24"/>
              <w:numPr>
                <w:ilvl w:val="0"/>
                <w:numId w:val="2"/>
              </w:numPr>
              <w:tabs>
                <w:tab w:val="left" w:pos="2610"/>
              </w:tabs>
              <w:rPr>
                <w:sz w:val="20"/>
                <w:szCs w:val="20"/>
              </w:rPr>
            </w:pPr>
            <w:r>
              <w:rPr>
                <w:sz w:val="20"/>
                <w:szCs w:val="20"/>
              </w:rPr>
              <w:t>Miss N.B.M., said that “my pain bothers me, but I can ignore it most of the time. Could it be fine to score the pain as “5/10” on the NRS?</w:t>
            </w:r>
          </w:p>
          <w:p>
            <w:pPr>
              <w:pStyle w:val="24"/>
              <w:tabs>
                <w:tab w:val="left" w:pos="2610"/>
              </w:tabs>
              <w:rPr>
                <w:sz w:val="20"/>
                <w:szCs w:val="20"/>
              </w:rPr>
            </w:pPr>
            <w:r>
              <w:rPr>
                <w:sz w:val="20"/>
                <w:szCs w:val="20"/>
              </w:rPr>
              <w:t>No</w:t>
            </w:r>
          </w:p>
          <w:p>
            <w:pPr>
              <w:pStyle w:val="24"/>
              <w:tabs>
                <w:tab w:val="left" w:pos="2610"/>
              </w:tabs>
              <w:rPr>
                <w:sz w:val="20"/>
                <w:szCs w:val="20"/>
              </w:rPr>
            </w:pPr>
            <w:r>
              <w:rPr>
                <w:sz w:val="20"/>
                <w:szCs w:val="20"/>
              </w:rPr>
              <w:t>Yes</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16</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44</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26.7</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73.3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4" w:hRule="atLeast"/>
        </w:trPr>
        <w:tc>
          <w:tcPr>
            <w:tcW w:w="7283" w:type="dxa"/>
          </w:tcPr>
          <w:p>
            <w:pPr>
              <w:pStyle w:val="24"/>
              <w:numPr>
                <w:ilvl w:val="0"/>
                <w:numId w:val="2"/>
              </w:numPr>
              <w:tabs>
                <w:tab w:val="left" w:pos="2610"/>
              </w:tabs>
              <w:rPr>
                <w:sz w:val="20"/>
                <w:szCs w:val="20"/>
              </w:rPr>
            </w:pPr>
            <w:r>
              <w:rPr>
                <w:sz w:val="20"/>
                <w:szCs w:val="20"/>
              </w:rPr>
              <w:t>Today marks Mr. P. M.'s first postoperative day. He is discovered peacefully in bed, curled up in a fetal posture, grimacing as he turns. Is it accurate to rate her at an 8?</w:t>
            </w:r>
          </w:p>
          <w:p>
            <w:pPr>
              <w:pStyle w:val="24"/>
              <w:tabs>
                <w:tab w:val="left" w:pos="2610"/>
              </w:tabs>
              <w:rPr>
                <w:sz w:val="20"/>
                <w:szCs w:val="20"/>
              </w:rPr>
            </w:pPr>
            <w:r>
              <w:rPr>
                <w:sz w:val="20"/>
                <w:szCs w:val="20"/>
              </w:rPr>
              <w:t>No</w:t>
            </w:r>
          </w:p>
          <w:p>
            <w:pPr>
              <w:pStyle w:val="24"/>
              <w:tabs>
                <w:tab w:val="left" w:pos="2610"/>
              </w:tabs>
              <w:rPr>
                <w:sz w:val="20"/>
                <w:szCs w:val="20"/>
              </w:rPr>
            </w:pPr>
            <w:r>
              <w:rPr>
                <w:sz w:val="20"/>
                <w:szCs w:val="20"/>
              </w:rPr>
              <w:t>Yes</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20</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40</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33.3</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66.7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3" w:type="dxa"/>
          </w:tcPr>
          <w:p>
            <w:pPr>
              <w:pStyle w:val="24"/>
              <w:numPr>
                <w:ilvl w:val="0"/>
                <w:numId w:val="2"/>
              </w:numPr>
              <w:tabs>
                <w:tab w:val="left" w:pos="2610"/>
              </w:tabs>
              <w:rPr>
                <w:sz w:val="20"/>
                <w:szCs w:val="20"/>
              </w:rPr>
            </w:pPr>
            <w:r>
              <w:rPr>
                <w:sz w:val="20"/>
                <w:szCs w:val="20"/>
              </w:rPr>
              <w:t>If a patient sleeps with no movement postoperatively, this indicates that the patient is not in pain.</w:t>
            </w:r>
          </w:p>
          <w:p>
            <w:pPr>
              <w:pStyle w:val="24"/>
              <w:tabs>
                <w:tab w:val="left" w:pos="2610"/>
              </w:tabs>
              <w:rPr>
                <w:sz w:val="20"/>
                <w:szCs w:val="20"/>
              </w:rPr>
            </w:pPr>
            <w:r>
              <w:rPr>
                <w:sz w:val="20"/>
                <w:szCs w:val="20"/>
              </w:rPr>
              <w:t>No</w:t>
            </w:r>
          </w:p>
          <w:p>
            <w:pPr>
              <w:pStyle w:val="24"/>
              <w:tabs>
                <w:tab w:val="left" w:pos="2610"/>
              </w:tabs>
              <w:rPr>
                <w:sz w:val="20"/>
                <w:szCs w:val="20"/>
              </w:rPr>
            </w:pPr>
            <w:r>
              <w:rPr>
                <w:sz w:val="20"/>
                <w:szCs w:val="20"/>
              </w:rPr>
              <w:t>Yes</w:t>
            </w:r>
          </w:p>
        </w:tc>
        <w:tc>
          <w:tcPr>
            <w:tcW w:w="1176"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24</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36</w:t>
            </w:r>
          </w:p>
        </w:tc>
        <w:tc>
          <w:tcPr>
            <w:tcW w:w="891"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40.0</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60.0</w:t>
            </w:r>
          </w:p>
        </w:tc>
      </w:tr>
    </w:tbl>
    <w:p>
      <w:pPr>
        <w:pStyle w:val="9"/>
        <w:tabs>
          <w:tab w:val="left" w:pos="2610"/>
        </w:tabs>
        <w:spacing w:line="480" w:lineRule="auto"/>
        <w:ind w:firstLine="720"/>
        <w:rPr>
          <w:rFonts w:ascii="Times New Roman" w:hAnsi="Times New Roman" w:cs="Times New Roman"/>
          <w:i w:val="0"/>
          <w:iCs w:val="0"/>
          <w:color w:val="auto"/>
          <w:sz w:val="20"/>
          <w:szCs w:val="20"/>
        </w:rPr>
      </w:pPr>
    </w:p>
    <w:p>
      <w:pPr>
        <w:pStyle w:val="9"/>
        <w:tabs>
          <w:tab w:val="left" w:pos="2610"/>
        </w:tabs>
        <w:spacing w:line="480" w:lineRule="auto"/>
        <w:ind w:firstLine="720"/>
        <w:jc w:val="both"/>
        <w:rPr>
          <w:rFonts w:ascii="Times New Roman" w:hAnsi="Times New Roman" w:cs="Times New Roman"/>
          <w:i w:val="0"/>
          <w:iCs w:val="0"/>
          <w:color w:val="auto"/>
          <w:sz w:val="24"/>
          <w:szCs w:val="24"/>
        </w:rPr>
      </w:pPr>
      <w:r>
        <w:rPr>
          <w:rFonts w:ascii="Times New Roman" w:hAnsi="Times New Roman" w:cs="Times New Roman"/>
          <w:i w:val="0"/>
          <w:iCs w:val="0"/>
          <w:color w:val="auto"/>
          <w:sz w:val="24"/>
          <w:szCs w:val="24"/>
        </w:rPr>
        <w:t>Table 2 shows that majority of the respondents had low knowledge towards scoring postoperative pain on the surgical ward. For example, more than sixty-three percent of the respondents (63.3%) knew that pain at level seven is not unmanageable. More than sixty-one percent (61.7%) of the respondents knew that pain at level “6” on the numerical rating scale is not severe. In addition, more than fifty-eight percent of the respondents (58.3%) knew that level “2” denoted some pain.  More than seventy-three percent of the respondents (73.3%) knew that a postoperative patient with pain at level “5” would need an analgesic. Also, eighty percent of the respondents (80%) knew that pain at level ‘3” represented mild pain. The vignettes/illustration that portray patient’s response to pain were used to ask how nurses would respond and rate the pain level on the NRS.</w:t>
      </w:r>
    </w:p>
    <w:bookmarkEnd w:id="142"/>
    <w:p>
      <w:pPr>
        <w:tabs>
          <w:tab w:val="left" w:pos="2610"/>
        </w:tabs>
        <w:spacing w:line="480" w:lineRule="auto"/>
        <w:ind w:firstLine="720"/>
        <w:jc w:val="both"/>
        <w:rPr>
          <w:rFonts w:ascii="Times New Roman" w:hAnsi="Times New Roman" w:cs="Times New Roman"/>
          <w:i/>
          <w:iCs/>
          <w:sz w:val="24"/>
          <w:szCs w:val="24"/>
        </w:rPr>
      </w:pPr>
      <w:bookmarkStart w:id="154" w:name="_Hlk108518431"/>
      <w:bookmarkStart w:id="155" w:name="_Hlk114926961"/>
      <w:r>
        <w:rPr>
          <w:rFonts w:ascii="Times New Roman" w:hAnsi="Times New Roman" w:cs="Times New Roman"/>
          <w:sz w:val="24"/>
          <w:szCs w:val="24"/>
        </w:rPr>
        <w:t>Further, sixty five percent (65%) of the respondents were aware that a pain rating of "10" is too intense for the patient to continue joking and chit-chatting with the visitors. More than sixty-six percent of the respondents (66.7%) knew that pain at level “8” can lead to patients giving up most of all their activities. Additionally, seventy-three percent of the respondents (73.3%) knew that the pain level of “5” could be ignored by the patient. Besides, sixty-six percent of the respondents (66.7%) knew that pain at level “8 “can affect the patient’s position in bed and also limit their movements.</w:t>
      </w:r>
      <w:r>
        <w:rPr>
          <w:rFonts w:ascii="Times New Roman" w:hAnsi="Times New Roman" w:cs="Times New Roman"/>
          <w:iCs/>
          <w:sz w:val="24"/>
          <w:szCs w:val="24"/>
        </w:rPr>
        <w:t xml:space="preserve"> Though there were a few who had low knowledge towards scoring post operative pain in relation to the baseline set (79% being acceptable knowledge). Questions (10) was stated such that the respondents who ticked “no” were likely to know the correct way of rating POP on the 0-10 NRS. The researcher further asked the respondents about the methods they used to manage postoperative pain and findings are presented in Table 3</w:t>
      </w:r>
      <w:r>
        <w:rPr>
          <w:rFonts w:ascii="Times New Roman" w:hAnsi="Times New Roman" w:cs="Times New Roman"/>
          <w:i/>
          <w:iCs/>
          <w:sz w:val="24"/>
          <w:szCs w:val="24"/>
        </w:rPr>
        <w:t>.</w:t>
      </w:r>
      <w:bookmarkEnd w:id="154"/>
      <w:bookmarkEnd w:id="155"/>
      <w:bookmarkStart w:id="156" w:name="_Toc120852243"/>
    </w:p>
    <w:bookmarkEnd w:id="156"/>
    <w:p>
      <w:pPr>
        <w:tabs>
          <w:tab w:val="left" w:pos="2610"/>
        </w:tabs>
        <w:spacing w:line="480" w:lineRule="auto"/>
        <w:ind w:firstLine="720"/>
        <w:jc w:val="both"/>
        <w:rPr>
          <w:rFonts w:ascii="Times New Roman" w:hAnsi="Times New Roman" w:cs="Times New Roman"/>
          <w:sz w:val="24"/>
          <w:szCs w:val="24"/>
        </w:rPr>
      </w:pPr>
    </w:p>
    <w:p>
      <w:bookmarkStart w:id="157" w:name="_Hlk109478086"/>
    </w:p>
    <w:p/>
    <w:p/>
    <w:p/>
    <w:p/>
    <w:p/>
    <w:p/>
    <w:p/>
    <w:p/>
    <w:p>
      <w:pPr>
        <w:pStyle w:val="9"/>
        <w:keepNext/>
        <w:rPr>
          <w:rFonts w:ascii="Times New Roman" w:hAnsi="Times New Roman" w:cs="Times New Roman"/>
          <w:sz w:val="24"/>
          <w:szCs w:val="24"/>
        </w:rPr>
      </w:pPr>
      <w:bookmarkStart w:id="158" w:name="_Toc134608193"/>
      <w:bookmarkStart w:id="159" w:name="_Toc134604174"/>
      <w:bookmarkStart w:id="160" w:name="_Toc120852244"/>
      <w:r>
        <w:rPr>
          <w:rFonts w:ascii="Times New Roman" w:hAnsi="Times New Roman" w:cs="Times New Roman"/>
          <w:sz w:val="24"/>
          <w:szCs w:val="24"/>
        </w:rPr>
        <w:t>Table 3 Assessment of post operative pain</w:t>
      </w:r>
      <w:bookmarkEnd w:id="158"/>
    </w:p>
    <w:bookmarkEnd w:id="157"/>
    <w:bookmarkEnd w:id="159"/>
    <w:bookmarkEnd w:id="160"/>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65"/>
        <w:gridCol w:w="990"/>
        <w:gridCol w:w="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5" w:type="dxa"/>
          </w:tcPr>
          <w:p>
            <w:pPr>
              <w:tabs>
                <w:tab w:val="left" w:pos="2610"/>
              </w:tabs>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Variable</w:t>
            </w:r>
          </w:p>
        </w:tc>
        <w:tc>
          <w:tcPr>
            <w:tcW w:w="990" w:type="dxa"/>
          </w:tcPr>
          <w:p>
            <w:pPr>
              <w:tabs>
                <w:tab w:val="left" w:pos="2610"/>
              </w:tabs>
              <w:autoSpaceDE w:val="0"/>
              <w:autoSpaceDN w:val="0"/>
              <w:adjustRightInd w:val="0"/>
              <w:spacing w:after="0" w:line="240" w:lineRule="auto"/>
              <w:jc w:val="center"/>
              <w:rPr>
                <w:rFonts w:ascii="Times New Roman" w:hAnsi="Times New Roman" w:cs="Times New Roman"/>
                <w:i/>
                <w:iCs/>
                <w:sz w:val="20"/>
                <w:szCs w:val="20"/>
              </w:rPr>
            </w:pPr>
            <w:r>
              <w:rPr>
                <w:rFonts w:ascii="Times New Roman" w:hAnsi="Times New Roman" w:cs="Times New Roman"/>
                <w:i/>
                <w:iCs/>
                <w:sz w:val="20"/>
                <w:szCs w:val="20"/>
              </w:rPr>
              <w:t>f</w:t>
            </w: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5" w:type="dxa"/>
          </w:tcPr>
          <w:p>
            <w:pPr>
              <w:pStyle w:val="24"/>
              <w:numPr>
                <w:ilvl w:val="0"/>
                <w:numId w:val="3"/>
              </w:numPr>
              <w:tabs>
                <w:tab w:val="left" w:pos="2610"/>
              </w:tabs>
              <w:rPr>
                <w:sz w:val="20"/>
                <w:szCs w:val="20"/>
              </w:rPr>
            </w:pPr>
            <w:r>
              <w:rPr>
                <w:sz w:val="20"/>
                <w:szCs w:val="20"/>
              </w:rPr>
              <w:t>Typically, patients who can be distracted from POP do not experience severe pain.</w:t>
            </w:r>
          </w:p>
          <w:p>
            <w:pPr>
              <w:pStyle w:val="24"/>
              <w:tabs>
                <w:tab w:val="left" w:pos="2610"/>
              </w:tabs>
              <w:ind w:left="1440"/>
              <w:rPr>
                <w:sz w:val="20"/>
                <w:szCs w:val="20"/>
              </w:rPr>
            </w:pPr>
            <w:r>
              <w:rPr>
                <w:sz w:val="20"/>
                <w:szCs w:val="20"/>
              </w:rPr>
              <w:t>No</w:t>
            </w:r>
          </w:p>
          <w:p>
            <w:pPr>
              <w:pStyle w:val="24"/>
              <w:tabs>
                <w:tab w:val="left" w:pos="2610"/>
              </w:tabs>
              <w:ind w:left="1440"/>
              <w:rPr>
                <w:sz w:val="20"/>
                <w:szCs w:val="20"/>
              </w:rPr>
            </w:pPr>
            <w:r>
              <w:rPr>
                <w:sz w:val="20"/>
                <w:szCs w:val="20"/>
              </w:rPr>
              <w:t>Yes</w:t>
            </w:r>
          </w:p>
        </w:tc>
        <w:tc>
          <w:tcPr>
            <w:tcW w:w="990"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12</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48</w:t>
            </w: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20</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5" w:type="dxa"/>
          </w:tcPr>
          <w:p>
            <w:pPr>
              <w:pStyle w:val="24"/>
              <w:numPr>
                <w:ilvl w:val="0"/>
                <w:numId w:val="3"/>
              </w:numPr>
              <w:tabs>
                <w:tab w:val="left" w:pos="2610"/>
              </w:tabs>
              <w:rPr>
                <w:sz w:val="20"/>
                <w:szCs w:val="20"/>
              </w:rPr>
            </w:pPr>
            <w:r>
              <w:rPr>
                <w:sz w:val="20"/>
                <w:szCs w:val="20"/>
              </w:rPr>
              <w:t>Following administration of a first dose of an opioid analgesic, future doses should be modified in line with each patient's reaction.</w:t>
            </w:r>
          </w:p>
          <w:p>
            <w:pPr>
              <w:pStyle w:val="24"/>
              <w:tabs>
                <w:tab w:val="left" w:pos="2610"/>
              </w:tabs>
              <w:ind w:left="1440"/>
              <w:rPr>
                <w:sz w:val="20"/>
                <w:szCs w:val="20"/>
              </w:rPr>
            </w:pPr>
            <w:r>
              <w:rPr>
                <w:sz w:val="20"/>
                <w:szCs w:val="20"/>
              </w:rPr>
              <w:t>No</w:t>
            </w:r>
          </w:p>
          <w:p>
            <w:pPr>
              <w:pStyle w:val="24"/>
              <w:tabs>
                <w:tab w:val="left" w:pos="2610"/>
              </w:tabs>
              <w:ind w:left="1440"/>
              <w:rPr>
                <w:sz w:val="20"/>
                <w:szCs w:val="20"/>
              </w:rPr>
            </w:pPr>
            <w:r>
              <w:rPr>
                <w:sz w:val="20"/>
                <w:szCs w:val="20"/>
              </w:rPr>
              <w:t>Yes</w:t>
            </w:r>
          </w:p>
        </w:tc>
        <w:tc>
          <w:tcPr>
            <w:tcW w:w="990"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11</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49</w:t>
            </w: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18.3</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81.7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5" w:type="dxa"/>
          </w:tcPr>
          <w:p>
            <w:pPr>
              <w:pStyle w:val="24"/>
              <w:numPr>
                <w:ilvl w:val="0"/>
                <w:numId w:val="3"/>
              </w:numPr>
              <w:tabs>
                <w:tab w:val="left" w:pos="2610"/>
              </w:tabs>
              <w:rPr>
                <w:sz w:val="20"/>
                <w:szCs w:val="20"/>
              </w:rPr>
            </w:pPr>
            <w:r>
              <w:rPr>
                <w:sz w:val="20"/>
                <w:szCs w:val="20"/>
              </w:rPr>
              <w:t>For the treatment of mild to moderate pain, non-drug therapies like touch, heat, and music are particularly beneficial.</w:t>
            </w:r>
          </w:p>
          <w:p>
            <w:pPr>
              <w:pStyle w:val="24"/>
              <w:tabs>
                <w:tab w:val="left" w:pos="2610"/>
              </w:tabs>
              <w:ind w:left="1440"/>
              <w:rPr>
                <w:sz w:val="20"/>
                <w:szCs w:val="20"/>
              </w:rPr>
            </w:pPr>
            <w:r>
              <w:rPr>
                <w:sz w:val="20"/>
                <w:szCs w:val="20"/>
              </w:rPr>
              <w:t>No</w:t>
            </w:r>
          </w:p>
          <w:p>
            <w:pPr>
              <w:pStyle w:val="24"/>
              <w:tabs>
                <w:tab w:val="left" w:pos="2610"/>
              </w:tabs>
              <w:ind w:left="1440"/>
              <w:rPr>
                <w:sz w:val="20"/>
                <w:szCs w:val="20"/>
              </w:rPr>
            </w:pPr>
            <w:r>
              <w:rPr>
                <w:sz w:val="20"/>
                <w:szCs w:val="20"/>
              </w:rPr>
              <w:t>Yes</w:t>
            </w:r>
          </w:p>
        </w:tc>
        <w:tc>
          <w:tcPr>
            <w:tcW w:w="990" w:type="dxa"/>
          </w:tcPr>
          <w:p>
            <w:pPr>
              <w:tabs>
                <w:tab w:val="left" w:pos="2610"/>
              </w:tabs>
              <w:autoSpaceDE w:val="0"/>
              <w:autoSpaceDN w:val="0"/>
              <w:adjustRightInd w:val="0"/>
              <w:spacing w:after="0" w:line="240" w:lineRule="auto"/>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25</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35</w:t>
            </w: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41.7</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58.3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5" w:type="dxa"/>
          </w:tcPr>
          <w:p>
            <w:pPr>
              <w:pStyle w:val="24"/>
              <w:numPr>
                <w:ilvl w:val="0"/>
                <w:numId w:val="3"/>
              </w:numPr>
              <w:tabs>
                <w:tab w:val="left" w:pos="2610"/>
              </w:tabs>
              <w:rPr>
                <w:sz w:val="20"/>
                <w:szCs w:val="20"/>
              </w:rPr>
            </w:pPr>
            <w:r>
              <w:rPr>
                <w:sz w:val="20"/>
                <w:szCs w:val="20"/>
              </w:rPr>
              <w:t xml:space="preserve">Prior to and following the administration of pain medication, pain should be evaluated. </w:t>
            </w:r>
          </w:p>
          <w:p>
            <w:pPr>
              <w:pStyle w:val="24"/>
              <w:tabs>
                <w:tab w:val="left" w:pos="2610"/>
              </w:tabs>
              <w:autoSpaceDE w:val="0"/>
              <w:autoSpaceDN w:val="0"/>
              <w:adjustRightInd w:val="0"/>
              <w:ind w:left="1440"/>
              <w:rPr>
                <w:sz w:val="20"/>
                <w:szCs w:val="20"/>
              </w:rPr>
            </w:pPr>
            <w:r>
              <w:rPr>
                <w:sz w:val="20"/>
                <w:szCs w:val="20"/>
              </w:rPr>
              <w:t>No</w:t>
            </w:r>
          </w:p>
          <w:p>
            <w:pPr>
              <w:pStyle w:val="24"/>
              <w:tabs>
                <w:tab w:val="left" w:pos="2610"/>
              </w:tabs>
              <w:autoSpaceDE w:val="0"/>
              <w:autoSpaceDN w:val="0"/>
              <w:adjustRightInd w:val="0"/>
              <w:ind w:left="1440"/>
              <w:rPr>
                <w:sz w:val="20"/>
                <w:szCs w:val="20"/>
              </w:rPr>
            </w:pPr>
            <w:r>
              <w:rPr>
                <w:sz w:val="20"/>
                <w:szCs w:val="20"/>
              </w:rPr>
              <w:t xml:space="preserve">Yes </w:t>
            </w:r>
          </w:p>
        </w:tc>
        <w:tc>
          <w:tcPr>
            <w:tcW w:w="990"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8</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52</w:t>
            </w: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13.8</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86.7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5" w:type="dxa"/>
          </w:tcPr>
          <w:p>
            <w:pPr>
              <w:pStyle w:val="24"/>
              <w:numPr>
                <w:ilvl w:val="0"/>
                <w:numId w:val="3"/>
              </w:numPr>
              <w:tabs>
                <w:tab w:val="left" w:pos="2610"/>
              </w:tabs>
              <w:rPr>
                <w:sz w:val="20"/>
                <w:szCs w:val="20"/>
              </w:rPr>
            </w:pPr>
            <w:r>
              <w:rPr>
                <w:sz w:val="20"/>
                <w:szCs w:val="20"/>
              </w:rPr>
              <w:t>Vital signs are always accurate predictors of how much pain a patient is experiencing.</w:t>
            </w:r>
          </w:p>
          <w:p>
            <w:pPr>
              <w:pStyle w:val="24"/>
              <w:tabs>
                <w:tab w:val="left" w:pos="2610"/>
              </w:tabs>
              <w:autoSpaceDE w:val="0"/>
              <w:autoSpaceDN w:val="0"/>
              <w:adjustRightInd w:val="0"/>
              <w:ind w:left="1440"/>
              <w:rPr>
                <w:sz w:val="20"/>
                <w:szCs w:val="20"/>
              </w:rPr>
            </w:pPr>
            <w:r>
              <w:rPr>
                <w:sz w:val="20"/>
                <w:szCs w:val="20"/>
              </w:rPr>
              <w:t>No</w:t>
            </w:r>
          </w:p>
          <w:p>
            <w:pPr>
              <w:pStyle w:val="24"/>
              <w:tabs>
                <w:tab w:val="left" w:pos="2610"/>
              </w:tabs>
              <w:autoSpaceDE w:val="0"/>
              <w:autoSpaceDN w:val="0"/>
              <w:adjustRightInd w:val="0"/>
              <w:ind w:left="1440"/>
              <w:rPr>
                <w:sz w:val="20"/>
                <w:szCs w:val="20"/>
              </w:rPr>
            </w:pPr>
            <w:r>
              <w:rPr>
                <w:sz w:val="20"/>
                <w:szCs w:val="20"/>
              </w:rPr>
              <w:t xml:space="preserve">Yes </w:t>
            </w:r>
          </w:p>
        </w:tc>
        <w:tc>
          <w:tcPr>
            <w:tcW w:w="990"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15</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45</w:t>
            </w: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25</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5" w:type="dxa"/>
          </w:tcPr>
          <w:p>
            <w:pPr>
              <w:pStyle w:val="24"/>
              <w:numPr>
                <w:ilvl w:val="0"/>
                <w:numId w:val="3"/>
              </w:numPr>
              <w:tabs>
                <w:tab w:val="left" w:pos="2610"/>
              </w:tabs>
              <w:autoSpaceDE w:val="0"/>
              <w:autoSpaceDN w:val="0"/>
              <w:adjustRightInd w:val="0"/>
              <w:rPr>
                <w:sz w:val="20"/>
                <w:szCs w:val="20"/>
              </w:rPr>
            </w:pPr>
            <w:r>
              <w:rPr>
                <w:sz w:val="20"/>
                <w:szCs w:val="20"/>
              </w:rPr>
              <w:t xml:space="preserve">Physical assessment is part of pain management. </w:t>
            </w:r>
          </w:p>
          <w:p>
            <w:pPr>
              <w:pStyle w:val="24"/>
              <w:tabs>
                <w:tab w:val="left" w:pos="2610"/>
              </w:tabs>
              <w:autoSpaceDE w:val="0"/>
              <w:autoSpaceDN w:val="0"/>
              <w:adjustRightInd w:val="0"/>
              <w:ind w:left="1440"/>
              <w:rPr>
                <w:sz w:val="20"/>
                <w:szCs w:val="20"/>
              </w:rPr>
            </w:pPr>
            <w:r>
              <w:rPr>
                <w:sz w:val="20"/>
                <w:szCs w:val="20"/>
              </w:rPr>
              <w:t>No</w:t>
            </w:r>
          </w:p>
          <w:p>
            <w:pPr>
              <w:pStyle w:val="24"/>
              <w:tabs>
                <w:tab w:val="left" w:pos="2610"/>
              </w:tabs>
              <w:autoSpaceDE w:val="0"/>
              <w:autoSpaceDN w:val="0"/>
              <w:adjustRightInd w:val="0"/>
              <w:ind w:left="1440"/>
              <w:rPr>
                <w:sz w:val="20"/>
                <w:szCs w:val="20"/>
              </w:rPr>
            </w:pPr>
            <w:r>
              <w:rPr>
                <w:sz w:val="20"/>
                <w:szCs w:val="20"/>
              </w:rPr>
              <w:t xml:space="preserve">Yes </w:t>
            </w:r>
          </w:p>
        </w:tc>
        <w:tc>
          <w:tcPr>
            <w:tcW w:w="990"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14</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46</w:t>
            </w: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23,3</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76.7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7465" w:type="dxa"/>
          </w:tcPr>
          <w:p>
            <w:pPr>
              <w:pStyle w:val="24"/>
              <w:numPr>
                <w:ilvl w:val="0"/>
                <w:numId w:val="3"/>
              </w:numPr>
              <w:tabs>
                <w:tab w:val="left" w:pos="2610"/>
              </w:tabs>
              <w:rPr>
                <w:sz w:val="20"/>
                <w:szCs w:val="20"/>
              </w:rPr>
            </w:pPr>
            <w:bookmarkStart w:id="161" w:name="_Hlk114922650"/>
            <w:r>
              <w:rPr>
                <w:sz w:val="20"/>
                <w:szCs w:val="20"/>
              </w:rPr>
              <w:t>The primary nurse is the best assessor of the severity of the patient's discomfort.</w:t>
            </w:r>
          </w:p>
          <w:bookmarkEnd w:id="161"/>
          <w:p>
            <w:pPr>
              <w:pStyle w:val="24"/>
              <w:tabs>
                <w:tab w:val="left" w:pos="2610"/>
              </w:tabs>
              <w:autoSpaceDE w:val="0"/>
              <w:autoSpaceDN w:val="0"/>
              <w:adjustRightInd w:val="0"/>
              <w:ind w:left="1440"/>
              <w:rPr>
                <w:sz w:val="20"/>
                <w:szCs w:val="20"/>
              </w:rPr>
            </w:pPr>
            <w:r>
              <w:rPr>
                <w:sz w:val="20"/>
                <w:szCs w:val="20"/>
              </w:rPr>
              <w:t>No</w:t>
            </w:r>
          </w:p>
          <w:p>
            <w:pPr>
              <w:pStyle w:val="24"/>
              <w:tabs>
                <w:tab w:val="left" w:pos="2610"/>
              </w:tabs>
              <w:autoSpaceDE w:val="0"/>
              <w:autoSpaceDN w:val="0"/>
              <w:adjustRightInd w:val="0"/>
              <w:ind w:left="1440"/>
              <w:rPr>
                <w:sz w:val="20"/>
                <w:szCs w:val="20"/>
              </w:rPr>
            </w:pPr>
            <w:r>
              <w:rPr>
                <w:sz w:val="20"/>
                <w:szCs w:val="20"/>
              </w:rPr>
              <w:t xml:space="preserve">Yes </w:t>
            </w:r>
          </w:p>
        </w:tc>
        <w:tc>
          <w:tcPr>
            <w:tcW w:w="990"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21</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39</w:t>
            </w: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34.0</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66.0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7" w:hRule="atLeast"/>
        </w:trPr>
        <w:tc>
          <w:tcPr>
            <w:tcW w:w="7465" w:type="dxa"/>
          </w:tcPr>
          <w:p>
            <w:pPr>
              <w:pStyle w:val="24"/>
              <w:numPr>
                <w:ilvl w:val="0"/>
                <w:numId w:val="3"/>
              </w:numPr>
              <w:tabs>
                <w:tab w:val="left" w:pos="2610"/>
              </w:tabs>
              <w:autoSpaceDE w:val="0"/>
              <w:autoSpaceDN w:val="0"/>
              <w:adjustRightInd w:val="0"/>
              <w:rPr>
                <w:sz w:val="20"/>
                <w:szCs w:val="20"/>
              </w:rPr>
            </w:pPr>
            <w:r>
              <w:rPr>
                <w:sz w:val="20"/>
                <w:szCs w:val="20"/>
              </w:rPr>
              <w:t xml:space="preserve">Is character, onset, location &amp; duration of pain important in pain assessment? </w:t>
            </w:r>
          </w:p>
          <w:p>
            <w:pPr>
              <w:pStyle w:val="24"/>
              <w:tabs>
                <w:tab w:val="left" w:pos="2610"/>
              </w:tabs>
              <w:autoSpaceDE w:val="0"/>
              <w:autoSpaceDN w:val="0"/>
              <w:adjustRightInd w:val="0"/>
              <w:ind w:left="1440"/>
              <w:rPr>
                <w:sz w:val="20"/>
                <w:szCs w:val="20"/>
              </w:rPr>
            </w:pPr>
            <w:r>
              <w:rPr>
                <w:sz w:val="20"/>
                <w:szCs w:val="20"/>
              </w:rPr>
              <w:t>No</w:t>
            </w:r>
          </w:p>
          <w:p>
            <w:pPr>
              <w:pStyle w:val="24"/>
              <w:tabs>
                <w:tab w:val="left" w:pos="2610"/>
              </w:tabs>
              <w:autoSpaceDE w:val="0"/>
              <w:autoSpaceDN w:val="0"/>
              <w:adjustRightInd w:val="0"/>
              <w:ind w:left="1440"/>
              <w:rPr>
                <w:sz w:val="20"/>
                <w:szCs w:val="20"/>
              </w:rPr>
            </w:pPr>
            <w:r>
              <w:rPr>
                <w:sz w:val="20"/>
                <w:szCs w:val="20"/>
              </w:rPr>
              <w:t>Yes</w:t>
            </w:r>
          </w:p>
        </w:tc>
        <w:tc>
          <w:tcPr>
            <w:tcW w:w="990"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56</w:t>
            </w:r>
          </w:p>
          <w:p>
            <w:pPr>
              <w:tabs>
                <w:tab w:val="left" w:pos="2610"/>
              </w:tabs>
              <w:autoSpaceDE w:val="0"/>
              <w:autoSpaceDN w:val="0"/>
              <w:adjustRightInd w:val="0"/>
              <w:spacing w:after="0" w:line="240" w:lineRule="auto"/>
              <w:jc w:val="center"/>
              <w:rPr>
                <w:rFonts w:ascii="Times New Roman" w:hAnsi="Times New Roman" w:cs="Times New Roman"/>
                <w:sz w:val="20"/>
                <w:szCs w:val="20"/>
              </w:rPr>
            </w:pP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6.7</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93.7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5" w:type="dxa"/>
          </w:tcPr>
          <w:p>
            <w:pPr>
              <w:pStyle w:val="24"/>
              <w:numPr>
                <w:ilvl w:val="0"/>
                <w:numId w:val="3"/>
              </w:numPr>
              <w:tabs>
                <w:tab w:val="left" w:pos="2610"/>
              </w:tabs>
              <w:rPr>
                <w:sz w:val="20"/>
                <w:szCs w:val="20"/>
              </w:rPr>
            </w:pPr>
            <w:r>
              <w:rPr>
                <w:sz w:val="20"/>
                <w:szCs w:val="20"/>
              </w:rPr>
              <w:t>In order to assess surgical discomfort, observation is a part of the process.</w:t>
            </w:r>
          </w:p>
          <w:p>
            <w:pPr>
              <w:pStyle w:val="24"/>
              <w:tabs>
                <w:tab w:val="left" w:pos="2610"/>
              </w:tabs>
              <w:autoSpaceDE w:val="0"/>
              <w:autoSpaceDN w:val="0"/>
              <w:adjustRightInd w:val="0"/>
              <w:ind w:left="1440"/>
              <w:rPr>
                <w:sz w:val="20"/>
                <w:szCs w:val="20"/>
              </w:rPr>
            </w:pPr>
            <w:r>
              <w:rPr>
                <w:sz w:val="20"/>
                <w:szCs w:val="20"/>
              </w:rPr>
              <w:t>No</w:t>
            </w:r>
          </w:p>
          <w:p>
            <w:pPr>
              <w:pStyle w:val="24"/>
              <w:tabs>
                <w:tab w:val="left" w:pos="2610"/>
              </w:tabs>
              <w:autoSpaceDE w:val="0"/>
              <w:autoSpaceDN w:val="0"/>
              <w:adjustRightInd w:val="0"/>
              <w:ind w:left="1440"/>
              <w:rPr>
                <w:sz w:val="20"/>
                <w:szCs w:val="20"/>
              </w:rPr>
            </w:pPr>
            <w:r>
              <w:rPr>
                <w:sz w:val="20"/>
                <w:szCs w:val="20"/>
              </w:rPr>
              <w:t>Yes</w:t>
            </w:r>
          </w:p>
        </w:tc>
        <w:tc>
          <w:tcPr>
            <w:tcW w:w="990"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15</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45</w:t>
            </w:r>
          </w:p>
        </w:tc>
        <w:tc>
          <w:tcPr>
            <w:tcW w:w="895" w:type="dxa"/>
          </w:tcPr>
          <w:p>
            <w:pPr>
              <w:tabs>
                <w:tab w:val="left" w:pos="2610"/>
              </w:tabs>
              <w:spacing w:after="0" w:line="240" w:lineRule="auto"/>
              <w:jc w:val="center"/>
              <w:rPr>
                <w:rFonts w:ascii="Times New Roman" w:hAnsi="Times New Roman" w:cs="Times New Roman"/>
                <w:sz w:val="20"/>
                <w:szCs w:val="20"/>
              </w:rPr>
            </w:pPr>
          </w:p>
          <w:p>
            <w:pPr>
              <w:tabs>
                <w:tab w:val="left" w:pos="261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25</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trPr>
        <w:tc>
          <w:tcPr>
            <w:tcW w:w="7465" w:type="dxa"/>
          </w:tcPr>
          <w:p>
            <w:pPr>
              <w:pStyle w:val="24"/>
              <w:numPr>
                <w:ilvl w:val="0"/>
                <w:numId w:val="3"/>
              </w:numPr>
              <w:tabs>
                <w:tab w:val="left" w:pos="2610"/>
              </w:tabs>
              <w:rPr>
                <w:sz w:val="20"/>
                <w:szCs w:val="20"/>
              </w:rPr>
            </w:pPr>
            <w:r>
              <w:rPr>
                <w:sz w:val="20"/>
                <w:szCs w:val="20"/>
              </w:rPr>
              <w:t>To identify cultural impacts on how pain is expressed, each patient needs to be evaluated separately.</w:t>
            </w:r>
          </w:p>
          <w:p>
            <w:pPr>
              <w:pStyle w:val="3"/>
              <w:ind w:left="1440"/>
              <w:rPr>
                <w:rFonts w:ascii="Times New Roman" w:hAnsi="Times New Roman" w:cs="Times New Roman"/>
                <w:b w:val="0"/>
                <w:bCs/>
                <w:sz w:val="20"/>
                <w:szCs w:val="20"/>
              </w:rPr>
            </w:pPr>
            <w:bookmarkStart w:id="162" w:name="_Toc142753423"/>
            <w:r>
              <w:rPr>
                <w:rFonts w:ascii="Times New Roman" w:hAnsi="Times New Roman" w:cs="Times New Roman"/>
                <w:b w:val="0"/>
                <w:bCs/>
                <w:sz w:val="20"/>
                <w:szCs w:val="20"/>
              </w:rPr>
              <w:t>No</w:t>
            </w:r>
            <w:bookmarkEnd w:id="162"/>
          </w:p>
          <w:p>
            <w:pPr>
              <w:pStyle w:val="24"/>
              <w:tabs>
                <w:tab w:val="left" w:pos="2610"/>
              </w:tabs>
              <w:ind w:left="1440"/>
              <w:rPr>
                <w:sz w:val="20"/>
                <w:szCs w:val="20"/>
              </w:rPr>
            </w:pPr>
            <w:r>
              <w:rPr>
                <w:bCs/>
                <w:sz w:val="20"/>
                <w:szCs w:val="20"/>
              </w:rPr>
              <w:t>Yes</w:t>
            </w:r>
          </w:p>
        </w:tc>
        <w:tc>
          <w:tcPr>
            <w:tcW w:w="990" w:type="dxa"/>
          </w:tcPr>
          <w:p>
            <w:pPr>
              <w:tabs>
                <w:tab w:val="left" w:pos="2610"/>
              </w:tabs>
              <w:spacing w:after="0" w:line="240" w:lineRule="auto"/>
              <w:jc w:val="center"/>
              <w:rPr>
                <w:rFonts w:ascii="Times New Roman" w:hAnsi="Times New Roman" w:cs="Times New Roman"/>
                <w:sz w:val="20"/>
                <w:szCs w:val="20"/>
              </w:rPr>
            </w:pPr>
          </w:p>
          <w:p>
            <w:pPr>
              <w:tabs>
                <w:tab w:val="left" w:pos="2610"/>
              </w:tabs>
              <w:spacing w:after="0" w:line="240" w:lineRule="auto"/>
              <w:jc w:val="center"/>
              <w:rPr>
                <w:rFonts w:ascii="Times New Roman" w:hAnsi="Times New Roman" w:cs="Times New Roman"/>
                <w:sz w:val="20"/>
                <w:szCs w:val="20"/>
              </w:rPr>
            </w:pPr>
          </w:p>
          <w:p>
            <w:pPr>
              <w:tabs>
                <w:tab w:val="left" w:pos="261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23</w:t>
            </w: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37</w:t>
            </w:r>
          </w:p>
        </w:tc>
        <w:tc>
          <w:tcPr>
            <w:tcW w:w="895" w:type="dxa"/>
          </w:tcPr>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cs="Times New Roman"/>
                <w:sz w:val="20"/>
                <w:szCs w:val="20"/>
              </w:rPr>
            </w:pPr>
            <w:r>
              <w:rPr>
                <w:rFonts w:ascii="Times New Roman" w:hAnsi="Times New Roman" w:cs="Times New Roman"/>
                <w:sz w:val="20"/>
                <w:szCs w:val="20"/>
              </w:rPr>
              <w:t>38.3</w:t>
            </w:r>
          </w:p>
          <w:p>
            <w:pPr>
              <w:tabs>
                <w:tab w:val="left" w:pos="261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61.7</w:t>
            </w:r>
          </w:p>
          <w:p>
            <w:pPr>
              <w:tabs>
                <w:tab w:val="left" w:pos="2610"/>
              </w:tabs>
              <w:spacing w:after="0" w:line="240" w:lineRule="auto"/>
              <w:rPr>
                <w:rFonts w:ascii="Times New Roman" w:hAnsi="Times New Roman" w:cs="Times New Roman"/>
                <w:sz w:val="20"/>
                <w:szCs w:val="20"/>
              </w:rPr>
            </w:pPr>
          </w:p>
        </w:tc>
      </w:tr>
    </w:tbl>
    <w:p>
      <w:pPr>
        <w:tabs>
          <w:tab w:val="left" w:pos="2610"/>
        </w:tabs>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Table 3 shows that majority of the participants had good knowledge towards post pain management. For example, 80% of the respondents knew that postoperative patients who can be distracted from pain don’t suffer from severe pain. Also, more than eighty one percent of the respondents (81.7%) knew that after an initial dose of opioids, the subsequent doses were adjusted according to the patient’s level of pain.</w:t>
      </w:r>
      <w:r>
        <w:rPr>
          <w:rFonts w:ascii="Times New Roman" w:hAnsi="Times New Roman" w:cs="Times New Roman"/>
          <w:i/>
          <w:iCs/>
          <w:sz w:val="24"/>
          <w:szCs w:val="24"/>
        </w:rPr>
        <w:t xml:space="preserve"> </w:t>
      </w:r>
      <w:r>
        <w:rPr>
          <w:rFonts w:ascii="Times New Roman" w:hAnsi="Times New Roman" w:cs="Times New Roman"/>
          <w:sz w:val="24"/>
          <w:szCs w:val="24"/>
        </w:rPr>
        <w:t xml:space="preserve">However, some respondents had a low knowledge towards postoperative pain management. For example, more than forty one percent of the respondents (41.7%) didn’t know that Nondrug interventions e.g., music, heat, and touch are very effective for mild to moderate pain control.  The researcher further wanted to identify the nurse’s knowledge towards post operative pain assessment. </w:t>
      </w:r>
      <w:bookmarkStart w:id="163" w:name="_Hlk143551277"/>
      <w:r>
        <w:rPr>
          <w:rFonts w:ascii="Times New Roman" w:hAnsi="Times New Roman" w:cs="Times New Roman"/>
          <w:sz w:val="24"/>
          <w:szCs w:val="24"/>
        </w:rPr>
        <w:t xml:space="preserve">Questions (7) was stated such that the respondents who ticked “no” were likely to know the correct way of rating POP on the 0-10 NRS. </w:t>
      </w:r>
      <w:bookmarkEnd w:id="163"/>
      <w:r>
        <w:rPr>
          <w:rFonts w:ascii="Times New Roman" w:hAnsi="Times New Roman" w:cs="Times New Roman"/>
          <w:sz w:val="24"/>
          <w:szCs w:val="24"/>
        </w:rPr>
        <w:t xml:space="preserve">        </w:t>
      </w:r>
    </w:p>
    <w:p>
      <w:pPr>
        <w:tabs>
          <w:tab w:val="left" w:pos="2610"/>
        </w:tabs>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Moreover, eighty-six percent of the respondents (86.7%) knew that pain should be assessed before and after drug administration. Also, seventy-five percent (75%) of the respondents knew that vital signs were reliable indicators of the patient’s pain intensity postoperatively. In addition, more than seventy-six percent of the respondents (76.7%) knew that physical assessment was part of pain management. More than ninety-three percent of the respondents (93.7%) knew that the character, onset, location &amp; duration of pain were important parameters to observe when carrying out pain assessment. Additionally, majority of the respondents (75%) knew that observations are part of pain assessment.  However, some respondents had low knowledge towards post-operative pain assessment, for example, 66% of the respondents didn’t know that the most accurate judge of the intensity of the patient’s pain is the primary nurse. Also, more than thirty-eight percent of the respondent (38.3%) didn’t know that if a patient sleeps with no movement postoperatively, this indicated that the patient was not in pain. Likewise, 38.3% of the respondents didn’t know that patients should be individually assessed to determine cultural influences in pain expression. </w:t>
      </w:r>
    </w:p>
    <w:p>
      <w:pPr>
        <w:pStyle w:val="3"/>
        <w:spacing w:line="480" w:lineRule="auto"/>
        <w:rPr>
          <w:rFonts w:ascii="Times New Roman" w:hAnsi="Times New Roman" w:cs="Times New Roman"/>
          <w:b w:val="0"/>
          <w:sz w:val="24"/>
          <w:szCs w:val="24"/>
        </w:rPr>
      </w:pPr>
      <w:bookmarkStart w:id="164" w:name="_Toc142753424"/>
      <w:bookmarkStart w:id="165" w:name="_Toc134604175"/>
      <w:bookmarkStart w:id="166" w:name="_Hlk116128156"/>
      <w:r>
        <w:rPr>
          <w:rFonts w:ascii="Times New Roman" w:hAnsi="Times New Roman" w:cs="Times New Roman"/>
          <w:sz w:val="24"/>
          <w:szCs w:val="24"/>
        </w:rPr>
        <w:t>Posttest Knowledge of Postoperative Pain Management on the Surgical Ward</w:t>
      </w:r>
      <w:bookmarkEnd w:id="164"/>
      <w:bookmarkEnd w:id="165"/>
      <w:r>
        <w:rPr>
          <w:rFonts w:ascii="Times New Roman" w:hAnsi="Times New Roman" w:cs="Times New Roman"/>
          <w:sz w:val="24"/>
          <w:szCs w:val="24"/>
        </w:rPr>
        <w:t xml:space="preserve"> </w:t>
      </w:r>
    </w:p>
    <w:bookmarkEnd w:id="166"/>
    <w:p>
      <w:pPr>
        <w:spacing w:line="480" w:lineRule="auto"/>
        <w:jc w:val="both"/>
        <w:rPr>
          <w:rFonts w:ascii="Times New Roman" w:hAnsi="Times New Roman" w:cs="Times New Roman"/>
          <w:bCs/>
          <w:sz w:val="24"/>
          <w:szCs w:val="24"/>
        </w:rPr>
      </w:pPr>
      <w:bookmarkStart w:id="167" w:name="_Hlk116128293"/>
      <w:r>
        <w:rPr>
          <w:rFonts w:ascii="Times New Roman" w:hAnsi="Times New Roman" w:cs="Times New Roman"/>
          <w:sz w:val="24"/>
          <w:szCs w:val="24"/>
        </w:rPr>
        <w:t>Following the educational intervention of integrating the pain assessment scale to nurses’ knowledge, the researcher carried out a posttest to identify its effect to the nurse’s knowledge towards post-operative pain management. T</w:t>
      </w:r>
      <w:r>
        <w:rPr>
          <w:rFonts w:ascii="Times New Roman" w:hAnsi="Times New Roman" w:cs="Times New Roman"/>
          <w:bCs/>
          <w:sz w:val="24"/>
          <w:szCs w:val="24"/>
        </w:rPr>
        <w:t>he findings of the nurse’s knowledge towards rating and scoring post-operative pain using NRS (0-10) are well presented in Table 4.</w:t>
      </w:r>
      <w:bookmarkEnd w:id="167"/>
    </w:p>
    <w:p>
      <w:pPr>
        <w:pStyle w:val="9"/>
        <w:keepNext/>
        <w:rPr>
          <w:rFonts w:ascii="Times New Roman" w:hAnsi="Times New Roman" w:cs="Times New Roman"/>
          <w:sz w:val="24"/>
          <w:szCs w:val="24"/>
        </w:rPr>
      </w:pPr>
      <w:bookmarkStart w:id="168" w:name="_Toc134608194"/>
      <w:bookmarkStart w:id="169" w:name="_Toc134604176"/>
      <w:bookmarkStart w:id="170" w:name="_Toc120852246"/>
      <w:bookmarkStart w:id="171" w:name="_Hlk114926112"/>
      <w:r>
        <w:rPr>
          <w:rFonts w:ascii="Times New Roman" w:hAnsi="Times New Roman" w:cs="Times New Roman"/>
          <w:sz w:val="24"/>
          <w:szCs w:val="24"/>
        </w:rPr>
        <w:t>Table 4: Rating and scoring post-operative pain.</w:t>
      </w:r>
      <w:bookmarkEnd w:id="168"/>
    </w:p>
    <w:bookmarkEnd w:id="169"/>
    <w:bookmarkEnd w:id="170"/>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75"/>
        <w:gridCol w:w="1080"/>
        <w:gridCol w:w="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Variable</w:t>
            </w: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i/>
                <w:iCs/>
                <w:sz w:val="20"/>
                <w:szCs w:val="20"/>
              </w:rPr>
            </w:pPr>
            <w:r>
              <w:rPr>
                <w:rFonts w:ascii="Times New Roman" w:hAnsi="Times New Roman" w:eastAsia="Times New Roman" w:cs="Times New Roman"/>
                <w:i/>
                <w:iCs/>
                <w:sz w:val="20"/>
                <w:szCs w:val="20"/>
              </w:rPr>
              <w:t>f</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trPr>
        <w:tc>
          <w:tcPr>
            <w:tcW w:w="7375" w:type="dxa"/>
          </w:tcPr>
          <w:p>
            <w:pPr>
              <w:pStyle w:val="24"/>
              <w:numPr>
                <w:ilvl w:val="0"/>
                <w:numId w:val="4"/>
              </w:numPr>
              <w:tabs>
                <w:tab w:val="left" w:pos="2610"/>
              </w:tabs>
              <w:rPr>
                <w:rFonts w:eastAsia="Times New Roman"/>
                <w:sz w:val="20"/>
                <w:szCs w:val="20"/>
              </w:rPr>
            </w:pPr>
            <w:r>
              <w:rPr>
                <w:rFonts w:eastAsia="Times New Roman"/>
                <w:sz w:val="20"/>
                <w:szCs w:val="20"/>
              </w:rPr>
              <w:t>On the NRS, is seven unmanageable?</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No</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Yes</w:t>
            </w: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24</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36</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40.0</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5" w:type="dxa"/>
          </w:tcPr>
          <w:p>
            <w:pPr>
              <w:pStyle w:val="24"/>
              <w:numPr>
                <w:ilvl w:val="0"/>
                <w:numId w:val="4"/>
              </w:numPr>
              <w:tabs>
                <w:tab w:val="left" w:pos="2610"/>
              </w:tabs>
              <w:rPr>
                <w:rFonts w:eastAsia="Times New Roman"/>
                <w:sz w:val="20"/>
                <w:szCs w:val="20"/>
              </w:rPr>
            </w:pPr>
            <w:r>
              <w:rPr>
                <w:rFonts w:eastAsia="Times New Roman"/>
                <w:sz w:val="20"/>
                <w:szCs w:val="20"/>
              </w:rPr>
              <w:t>On NRS six denotes severe pain</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No</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 xml:space="preserve">Yes </w:t>
            </w: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25</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35</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41.7</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5" w:type="dxa"/>
          </w:tcPr>
          <w:p>
            <w:pPr>
              <w:pStyle w:val="24"/>
              <w:numPr>
                <w:ilvl w:val="0"/>
                <w:numId w:val="4"/>
              </w:numPr>
              <w:tabs>
                <w:tab w:val="left" w:pos="2610"/>
              </w:tabs>
              <w:autoSpaceDE w:val="0"/>
              <w:autoSpaceDN w:val="0"/>
              <w:adjustRightInd w:val="0"/>
              <w:rPr>
                <w:rFonts w:eastAsia="Times New Roman"/>
                <w:sz w:val="20"/>
                <w:szCs w:val="20"/>
              </w:rPr>
            </w:pPr>
            <w:r>
              <w:rPr>
                <w:rFonts w:eastAsia="Times New Roman"/>
                <w:sz w:val="20"/>
                <w:szCs w:val="20"/>
              </w:rPr>
              <w:t xml:space="preserve">Does level 2 on the NRS denote no pain at all? </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No</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Yes</w:t>
            </w: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28</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32</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46.7</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7" w:hRule="atLeast"/>
        </w:trPr>
        <w:tc>
          <w:tcPr>
            <w:tcW w:w="7375" w:type="dxa"/>
          </w:tcPr>
          <w:p>
            <w:pPr>
              <w:pStyle w:val="24"/>
              <w:numPr>
                <w:ilvl w:val="0"/>
                <w:numId w:val="4"/>
              </w:numPr>
              <w:tabs>
                <w:tab w:val="left" w:pos="2610"/>
              </w:tabs>
              <w:autoSpaceDE w:val="0"/>
              <w:autoSpaceDN w:val="0"/>
              <w:adjustRightInd w:val="0"/>
              <w:rPr>
                <w:rFonts w:eastAsia="Times New Roman"/>
                <w:sz w:val="20"/>
                <w:szCs w:val="20"/>
                <w:shd w:val="clear" w:color="auto" w:fill="FFFFFF"/>
              </w:rPr>
            </w:pPr>
            <w:r>
              <w:rPr>
                <w:rFonts w:eastAsia="Times New Roman"/>
                <w:sz w:val="20"/>
                <w:szCs w:val="20"/>
                <w:shd w:val="clear" w:color="auto" w:fill="FFFFFF"/>
              </w:rPr>
              <w:t>On a scale of 0-10, postoperative patients with 5/10 do not need any analgesic.</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No</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Yes</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23</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37</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38.3</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61.7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5" w:type="dxa"/>
          </w:tcPr>
          <w:p>
            <w:pPr>
              <w:pStyle w:val="24"/>
              <w:numPr>
                <w:ilvl w:val="0"/>
                <w:numId w:val="4"/>
              </w:numPr>
              <w:tabs>
                <w:tab w:val="left" w:pos="2610"/>
              </w:tabs>
              <w:rPr>
                <w:rFonts w:eastAsia="Times New Roman"/>
                <w:sz w:val="20"/>
                <w:szCs w:val="20"/>
              </w:rPr>
            </w:pPr>
            <w:r>
              <w:rPr>
                <w:rFonts w:eastAsia="Times New Roman"/>
                <w:sz w:val="20"/>
                <w:szCs w:val="20"/>
              </w:rPr>
              <w:t>On the NRS level, three represents mild pain.</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No</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Yes</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56</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6.7</w:t>
            </w:r>
          </w:p>
          <w:p>
            <w:pPr>
              <w:keepNext/>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93.3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5" w:type="dxa"/>
          </w:tcPr>
          <w:p>
            <w:pPr>
              <w:pStyle w:val="24"/>
              <w:numPr>
                <w:ilvl w:val="0"/>
                <w:numId w:val="4"/>
              </w:numPr>
              <w:tabs>
                <w:tab w:val="left" w:pos="2610"/>
              </w:tabs>
              <w:autoSpaceDE w:val="0"/>
              <w:autoSpaceDN w:val="0"/>
              <w:adjustRightInd w:val="0"/>
              <w:rPr>
                <w:rFonts w:eastAsia="Times New Roman"/>
                <w:sz w:val="20"/>
                <w:szCs w:val="20"/>
              </w:rPr>
            </w:pPr>
            <w:r>
              <w:rPr>
                <w:rFonts w:eastAsia="Times New Roman"/>
                <w:sz w:val="20"/>
                <w:szCs w:val="20"/>
              </w:rPr>
              <w:t>Today is Phillip’s 1st post-operative day, and as you enter his room, he smiles at you and continues talking and joking with his visitor. Is his pain intensity 10 on the NRS?</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No</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Yes</w:t>
            </w: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41</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31.7</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68.3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5" w:type="dxa"/>
          </w:tcPr>
          <w:p>
            <w:pPr>
              <w:pStyle w:val="24"/>
              <w:numPr>
                <w:ilvl w:val="0"/>
                <w:numId w:val="4"/>
              </w:numPr>
              <w:tabs>
                <w:tab w:val="left" w:pos="2610"/>
              </w:tabs>
              <w:autoSpaceDE w:val="0"/>
              <w:autoSpaceDN w:val="0"/>
              <w:adjustRightInd w:val="0"/>
              <w:rPr>
                <w:rFonts w:eastAsia="Times New Roman"/>
                <w:sz w:val="20"/>
                <w:szCs w:val="20"/>
              </w:rPr>
            </w:pPr>
            <w:r>
              <w:rPr>
                <w:rFonts w:eastAsia="Times New Roman"/>
                <w:sz w:val="20"/>
                <w:szCs w:val="20"/>
              </w:rPr>
              <w:t>A patient-reported,” I think about my pain all the time and give up many activities because of pain”.  Is it right to score her 8?</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No</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Yes</w:t>
            </w: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14</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46</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23.3</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76.7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5" w:type="dxa"/>
          </w:tcPr>
          <w:p>
            <w:pPr>
              <w:pStyle w:val="24"/>
              <w:numPr>
                <w:ilvl w:val="0"/>
                <w:numId w:val="4"/>
              </w:numPr>
              <w:tabs>
                <w:tab w:val="left" w:pos="2610"/>
              </w:tabs>
              <w:autoSpaceDE w:val="0"/>
              <w:autoSpaceDN w:val="0"/>
              <w:adjustRightInd w:val="0"/>
              <w:rPr>
                <w:rFonts w:eastAsia="Times New Roman"/>
                <w:sz w:val="20"/>
                <w:szCs w:val="20"/>
              </w:rPr>
            </w:pPr>
            <w:r>
              <w:rPr>
                <w:rFonts w:eastAsia="Times New Roman"/>
                <w:sz w:val="20"/>
                <w:szCs w:val="20"/>
              </w:rPr>
              <w:t>Miss N.B.M., said that “My pain bothers me, but I can ignore it most of the time. Could it be fine to score the pain as “5”?</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No</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Yes</w:t>
            </w: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24</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36</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40.0</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5" w:type="dxa"/>
          </w:tcPr>
          <w:p>
            <w:pPr>
              <w:pStyle w:val="24"/>
              <w:numPr>
                <w:ilvl w:val="0"/>
                <w:numId w:val="4"/>
              </w:numPr>
              <w:tabs>
                <w:tab w:val="left" w:pos="2610"/>
              </w:tabs>
              <w:autoSpaceDE w:val="0"/>
              <w:autoSpaceDN w:val="0"/>
              <w:adjustRightInd w:val="0"/>
              <w:rPr>
                <w:rFonts w:eastAsia="Times New Roman"/>
                <w:sz w:val="20"/>
                <w:szCs w:val="20"/>
              </w:rPr>
            </w:pPr>
            <w:r>
              <w:rPr>
                <w:rFonts w:eastAsia="Times New Roman"/>
                <w:sz w:val="20"/>
                <w:szCs w:val="20"/>
              </w:rPr>
              <w:t>Mr. P.M. today is his 1st POD following abdominal surgery. He is found lying curled in a fetal position, quietly in bed, and grimaces as he turns in bed. Is it precise to rate and score her as 8?</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No</w:t>
            </w:r>
          </w:p>
          <w:p>
            <w:pPr>
              <w:pStyle w:val="24"/>
              <w:tabs>
                <w:tab w:val="left" w:pos="2610"/>
              </w:tabs>
              <w:autoSpaceDE w:val="0"/>
              <w:autoSpaceDN w:val="0"/>
              <w:adjustRightInd w:val="0"/>
              <w:ind w:left="1440"/>
              <w:rPr>
                <w:rFonts w:eastAsia="Times New Roman"/>
                <w:sz w:val="20"/>
                <w:szCs w:val="20"/>
              </w:rPr>
            </w:pPr>
            <w:r>
              <w:rPr>
                <w:rFonts w:eastAsia="Times New Roman"/>
                <w:sz w:val="20"/>
                <w:szCs w:val="20"/>
              </w:rPr>
              <w:t>Yes</w:t>
            </w: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51</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15.0</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85.0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75" w:type="dxa"/>
          </w:tcPr>
          <w:p>
            <w:pPr>
              <w:pStyle w:val="24"/>
              <w:numPr>
                <w:ilvl w:val="0"/>
                <w:numId w:val="4"/>
              </w:numPr>
              <w:tabs>
                <w:tab w:val="left" w:pos="2610"/>
              </w:tabs>
              <w:rPr>
                <w:rFonts w:eastAsia="Times New Roman"/>
                <w:sz w:val="20"/>
                <w:szCs w:val="20"/>
              </w:rPr>
            </w:pPr>
            <w:r>
              <w:rPr>
                <w:rFonts w:eastAsia="Times New Roman"/>
                <w:sz w:val="20"/>
                <w:szCs w:val="20"/>
              </w:rPr>
              <w:t>If a patient sleeps with no movement postoperatively, this indicates that the patient is not in pain.</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No</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Yes</w:t>
            </w:r>
          </w:p>
        </w:tc>
        <w:tc>
          <w:tcPr>
            <w:tcW w:w="1080"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24</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36</w:t>
            </w:r>
          </w:p>
        </w:tc>
        <w:tc>
          <w:tcPr>
            <w:tcW w:w="895"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40.0</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60.0</w:t>
            </w:r>
          </w:p>
        </w:tc>
      </w:tr>
      <w:bookmarkEnd w:id="171"/>
    </w:tbl>
    <w:p>
      <w:pPr>
        <w:tabs>
          <w:tab w:val="left" w:pos="2610"/>
        </w:tabs>
        <w:spacing w:line="480" w:lineRule="auto"/>
        <w:contextualSpacing/>
        <w:rPr>
          <w:rFonts w:ascii="Times New Roman" w:hAnsi="Times New Roman" w:cs="Times New Roman"/>
          <w:sz w:val="20"/>
          <w:szCs w:val="20"/>
        </w:rPr>
      </w:pPr>
    </w:p>
    <w:p>
      <w:pPr>
        <w:tabs>
          <w:tab w:val="left" w:pos="2610"/>
        </w:tabs>
        <w:spacing w:line="480" w:lineRule="auto"/>
        <w:contextualSpacing/>
        <w:jc w:val="both"/>
        <w:rPr>
          <w:rFonts w:ascii="Times New Roman" w:hAnsi="Times New Roman" w:cs="Times New Roman"/>
          <w:i/>
          <w:iCs/>
          <w:sz w:val="24"/>
          <w:szCs w:val="24"/>
        </w:rPr>
      </w:pPr>
      <w:r>
        <w:rPr>
          <w:rFonts w:ascii="Times New Roman" w:hAnsi="Times New Roman" w:cs="Times New Roman"/>
          <w:sz w:val="24"/>
          <w:szCs w:val="24"/>
        </w:rPr>
        <w:t xml:space="preserve">               Table 4 shows that majority of the respondents had low knowledge towards rating and scoring post-operative. For example, 60% of the respondents didn’t know that the pain level of seven is manageable. Also, more than fifty-eight percent of the respondents (58.3%) did not know that NRS six denoted severe pain. In addition, more than fifty-three percent of the respondents (53.3%) didn’t know that level “2” denoted some pain. Furthermore, 61.7% of the respondents didn’t know that </w:t>
      </w:r>
      <w:r>
        <w:rPr>
          <w:rFonts w:ascii="Times New Roman" w:hAnsi="Times New Roman" w:cs="Times New Roman"/>
          <w:sz w:val="24"/>
          <w:szCs w:val="24"/>
          <w:shd w:val="clear" w:color="auto" w:fill="FFFFFF"/>
        </w:rPr>
        <w:t>on a scale of 0-10, postoperative patients with 5/10 needed any analgesic.</w:t>
      </w:r>
      <w:r>
        <w:rPr>
          <w:rFonts w:ascii="Times New Roman" w:hAnsi="Times New Roman" w:cs="Times New Roman"/>
          <w:sz w:val="24"/>
          <w:szCs w:val="24"/>
        </w:rPr>
        <w:t xml:space="preserve"> However, some respondents had good knowledge towards rating and scoring post-operative pain. For resistance, more than ninety-three of the respondents (93.3%) knew that level “3 “represents mild pain. </w:t>
      </w:r>
    </w:p>
    <w:p>
      <w:pPr>
        <w:tabs>
          <w:tab w:val="left" w:pos="2610"/>
        </w:tabs>
        <w:spacing w:after="200" w:line="480" w:lineRule="auto"/>
        <w:jc w:val="both"/>
        <w:rPr>
          <w:rFonts w:ascii="Times New Roman" w:hAnsi="Times New Roman" w:cs="Times New Roman"/>
          <w:sz w:val="24"/>
          <w:szCs w:val="24"/>
        </w:rPr>
      </w:pPr>
      <w:r>
        <w:rPr>
          <w:rFonts w:ascii="Times New Roman" w:hAnsi="Times New Roman" w:cs="Times New Roman"/>
          <w:sz w:val="24"/>
          <w:szCs w:val="24"/>
        </w:rPr>
        <w:t xml:space="preserve">             More than seventy-six percent of the respondent (76.7%) knew a patient who reported that” I think about my pain all the time and give up many activities because of pain” scored 8. Also, 60% of the respondents knew that it was right to Miss N.B.M.’s pain intensity was 5/10, having reported “My pain bothers me, but I can ignore it most of the time”. In addition, 85% of the respondents knew that Mr. P.M. on his 1st POD following abdominal surgery was found lying curled in a fetal position, quietly in bed, and grimacing as he turned in bed, it was precise to rate and score 8. On the contrary, a good number of respondents had low knowledge towards rating and scoring pain. For example, more than sixty-eight percent of the respondents (68.3%) didn’t know that it was not right to score Phillip’s pain intensity 10 as he was found smiling, talking, and joking with his visitor on his 1</w:t>
      </w:r>
      <w:r>
        <w:rPr>
          <w:rFonts w:ascii="Times New Roman" w:hAnsi="Times New Roman" w:cs="Times New Roman"/>
          <w:sz w:val="24"/>
          <w:szCs w:val="24"/>
          <w:vertAlign w:val="superscript"/>
        </w:rPr>
        <w:t>st</w:t>
      </w:r>
      <w:r>
        <w:rPr>
          <w:rFonts w:ascii="Times New Roman" w:hAnsi="Times New Roman" w:cs="Times New Roman"/>
          <w:sz w:val="24"/>
          <w:szCs w:val="24"/>
        </w:rPr>
        <w:t xml:space="preserve"> postoperative </w:t>
      </w:r>
      <w:bookmarkStart w:id="172" w:name="_Hlk114316789"/>
      <w:r>
        <w:rPr>
          <w:rFonts w:ascii="Times New Roman" w:hAnsi="Times New Roman" w:cs="Times New Roman"/>
          <w:sz w:val="24"/>
          <w:szCs w:val="24"/>
        </w:rPr>
        <w:t>day. Following the integration of the pain assessment scale to nurses’ knowledge, the researcher continued to identify the nurse’s knowledge of the methods of postoperative pain management. The findings are presented in Table 5.</w:t>
      </w:r>
      <w:bookmarkEnd w:id="172"/>
      <w:r>
        <w:rPr>
          <w:rFonts w:ascii="Times New Roman" w:hAnsi="Times New Roman" w:cs="Times New Roman"/>
          <w:sz w:val="24"/>
          <w:szCs w:val="24"/>
        </w:rPr>
        <w:t xml:space="preserve">  </w:t>
      </w:r>
    </w:p>
    <w:p>
      <w:pPr>
        <w:pStyle w:val="3"/>
        <w:spacing w:line="480" w:lineRule="auto"/>
        <w:rPr>
          <w:rFonts w:ascii="Times New Roman" w:hAnsi="Times New Roman" w:cs="Times New Roman"/>
          <w:b w:val="0"/>
          <w:bCs/>
          <w:color w:val="auto"/>
          <w:sz w:val="24"/>
          <w:szCs w:val="24"/>
        </w:rPr>
      </w:pPr>
      <w:bookmarkStart w:id="173" w:name="_Toc120852249"/>
    </w:p>
    <w:p>
      <w:pPr>
        <w:pStyle w:val="3"/>
        <w:spacing w:line="480" w:lineRule="auto"/>
        <w:rPr>
          <w:rFonts w:ascii="Times New Roman" w:hAnsi="Times New Roman" w:cs="Times New Roman"/>
          <w:color w:val="auto"/>
          <w:sz w:val="24"/>
          <w:szCs w:val="24"/>
        </w:rPr>
      </w:pPr>
    </w:p>
    <w:p>
      <w:pPr>
        <w:pStyle w:val="3"/>
        <w:spacing w:line="480" w:lineRule="auto"/>
        <w:rPr>
          <w:rFonts w:ascii="Times New Roman" w:hAnsi="Times New Roman" w:cs="Times New Roman"/>
          <w:color w:val="auto"/>
          <w:sz w:val="24"/>
          <w:szCs w:val="24"/>
        </w:rPr>
      </w:pPr>
    </w:p>
    <w:p>
      <w:pPr>
        <w:pStyle w:val="3"/>
        <w:spacing w:line="480" w:lineRule="auto"/>
        <w:rPr>
          <w:rFonts w:ascii="Times New Roman" w:hAnsi="Times New Roman" w:cs="Times New Roman"/>
          <w:color w:val="auto"/>
          <w:sz w:val="24"/>
          <w:szCs w:val="24"/>
        </w:rPr>
      </w:pPr>
    </w:p>
    <w:p>
      <w:pPr>
        <w:pStyle w:val="3"/>
        <w:spacing w:line="480" w:lineRule="auto"/>
        <w:rPr>
          <w:rFonts w:ascii="Times New Roman" w:hAnsi="Times New Roman" w:cs="Times New Roman"/>
          <w:color w:val="auto"/>
          <w:sz w:val="24"/>
          <w:szCs w:val="24"/>
        </w:rPr>
      </w:pPr>
    </w:p>
    <w:p>
      <w:pPr>
        <w:rPr>
          <w:rFonts w:ascii="Times New Roman" w:hAnsi="Times New Roman" w:cs="Times New Roman"/>
          <w:sz w:val="24"/>
          <w:szCs w:val="24"/>
        </w:rPr>
      </w:pPr>
    </w:p>
    <w:p>
      <w:pPr>
        <w:pStyle w:val="9"/>
        <w:keepNext/>
        <w:rPr>
          <w:rFonts w:ascii="Times New Roman" w:hAnsi="Times New Roman" w:cs="Times New Roman"/>
          <w:sz w:val="24"/>
          <w:szCs w:val="24"/>
        </w:rPr>
      </w:pPr>
      <w:bookmarkStart w:id="174" w:name="_Toc134608197"/>
      <w:bookmarkStart w:id="175" w:name="_Toc134604179"/>
      <w:r>
        <w:rPr>
          <w:rFonts w:ascii="Times New Roman" w:hAnsi="Times New Roman" w:cs="Times New Roman"/>
          <w:sz w:val="24"/>
          <w:szCs w:val="24"/>
        </w:rPr>
        <w:t>Table 5 Postoperative pain assessment.</w:t>
      </w:r>
      <w:bookmarkEnd w:id="174"/>
    </w:p>
    <w:bookmarkEnd w:id="173"/>
    <w:bookmarkEnd w:id="175"/>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0"/>
        <w:gridCol w:w="787"/>
        <w:gridCol w:w="456"/>
        <w:gridCol w:w="8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20" w:type="dxa"/>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Variable</w:t>
            </w:r>
          </w:p>
        </w:tc>
        <w:tc>
          <w:tcPr>
            <w:tcW w:w="1243" w:type="dxa"/>
            <w:gridSpan w:val="2"/>
          </w:tcPr>
          <w:p>
            <w:pPr>
              <w:tabs>
                <w:tab w:val="left" w:pos="2610"/>
              </w:tabs>
              <w:autoSpaceDE w:val="0"/>
              <w:autoSpaceDN w:val="0"/>
              <w:adjustRightInd w:val="0"/>
              <w:spacing w:after="0" w:line="240" w:lineRule="auto"/>
              <w:jc w:val="center"/>
              <w:rPr>
                <w:rFonts w:ascii="Times New Roman" w:hAnsi="Times New Roman" w:eastAsia="Times New Roman" w:cs="Times New Roman"/>
                <w:i/>
                <w:iCs/>
                <w:sz w:val="20"/>
                <w:szCs w:val="20"/>
              </w:rPr>
            </w:pPr>
            <w:r>
              <w:rPr>
                <w:rFonts w:ascii="Times New Roman" w:hAnsi="Times New Roman" w:eastAsia="Times New Roman" w:cs="Times New Roman"/>
                <w:i/>
                <w:iCs/>
                <w:sz w:val="20"/>
                <w:szCs w:val="20"/>
              </w:rPr>
              <w:t>f</w:t>
            </w:r>
          </w:p>
        </w:tc>
        <w:tc>
          <w:tcPr>
            <w:tcW w:w="887"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7" w:type="dxa"/>
            <w:gridSpan w:val="2"/>
          </w:tcPr>
          <w:p>
            <w:pPr>
              <w:pStyle w:val="24"/>
              <w:numPr>
                <w:ilvl w:val="0"/>
                <w:numId w:val="5"/>
              </w:numPr>
              <w:tabs>
                <w:tab w:val="left" w:pos="2610"/>
              </w:tabs>
              <w:rPr>
                <w:sz w:val="20"/>
                <w:szCs w:val="20"/>
              </w:rPr>
            </w:pPr>
            <w:r>
              <w:rPr>
                <w:sz w:val="20"/>
                <w:szCs w:val="20"/>
              </w:rPr>
              <w:t>Typically, patients who can be distracted from their suffering do not experience severe pain.</w:t>
            </w:r>
          </w:p>
          <w:p>
            <w:pPr>
              <w:pStyle w:val="24"/>
              <w:tabs>
                <w:tab w:val="left" w:pos="2610"/>
              </w:tabs>
              <w:ind w:left="1440"/>
              <w:rPr>
                <w:sz w:val="20"/>
                <w:szCs w:val="20"/>
              </w:rPr>
            </w:pPr>
            <w:r>
              <w:rPr>
                <w:sz w:val="20"/>
                <w:szCs w:val="20"/>
              </w:rPr>
              <w:t>No</w:t>
            </w:r>
          </w:p>
          <w:p>
            <w:pPr>
              <w:pStyle w:val="24"/>
              <w:tabs>
                <w:tab w:val="left" w:pos="2610"/>
              </w:tabs>
              <w:ind w:left="1440"/>
              <w:rPr>
                <w:sz w:val="20"/>
                <w:szCs w:val="20"/>
              </w:rPr>
            </w:pPr>
            <w:r>
              <w:rPr>
                <w:sz w:val="20"/>
                <w:szCs w:val="20"/>
              </w:rPr>
              <w:t>Yes</w:t>
            </w:r>
          </w:p>
        </w:tc>
        <w:tc>
          <w:tcPr>
            <w:tcW w:w="456"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20</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40</w:t>
            </w:r>
          </w:p>
        </w:tc>
        <w:tc>
          <w:tcPr>
            <w:tcW w:w="887"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33.3</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66.7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7" w:type="dxa"/>
            <w:gridSpan w:val="2"/>
          </w:tcPr>
          <w:p>
            <w:pPr>
              <w:pStyle w:val="24"/>
              <w:numPr>
                <w:ilvl w:val="0"/>
                <w:numId w:val="5"/>
              </w:numPr>
              <w:tabs>
                <w:tab w:val="left" w:pos="2610"/>
              </w:tabs>
              <w:rPr>
                <w:sz w:val="20"/>
                <w:szCs w:val="20"/>
              </w:rPr>
            </w:pPr>
            <w:r>
              <w:rPr>
                <w:sz w:val="20"/>
                <w:szCs w:val="20"/>
              </w:rPr>
              <w:t>Following administration of a first dose of an opioid analgesic, the following doses should be modified based on each patient's response.</w:t>
            </w:r>
          </w:p>
          <w:p>
            <w:pPr>
              <w:pStyle w:val="24"/>
              <w:tabs>
                <w:tab w:val="left" w:pos="2610"/>
              </w:tabs>
              <w:ind w:left="1440"/>
              <w:rPr>
                <w:sz w:val="20"/>
                <w:szCs w:val="20"/>
              </w:rPr>
            </w:pPr>
            <w:r>
              <w:rPr>
                <w:sz w:val="20"/>
                <w:szCs w:val="20"/>
              </w:rPr>
              <w:t>No</w:t>
            </w:r>
          </w:p>
          <w:p>
            <w:pPr>
              <w:pStyle w:val="24"/>
              <w:tabs>
                <w:tab w:val="left" w:pos="2610"/>
              </w:tabs>
              <w:ind w:left="1440"/>
              <w:rPr>
                <w:sz w:val="20"/>
                <w:szCs w:val="20"/>
              </w:rPr>
            </w:pPr>
            <w:r>
              <w:rPr>
                <w:sz w:val="20"/>
                <w:szCs w:val="20"/>
              </w:rPr>
              <w:t>Yes</w:t>
            </w:r>
          </w:p>
        </w:tc>
        <w:tc>
          <w:tcPr>
            <w:tcW w:w="456"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58</w:t>
            </w:r>
          </w:p>
        </w:tc>
        <w:tc>
          <w:tcPr>
            <w:tcW w:w="887"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13.3</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86.7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7" w:type="dxa"/>
            <w:gridSpan w:val="2"/>
          </w:tcPr>
          <w:p>
            <w:pPr>
              <w:pStyle w:val="24"/>
              <w:numPr>
                <w:ilvl w:val="0"/>
                <w:numId w:val="5"/>
              </w:numPr>
              <w:tabs>
                <w:tab w:val="left" w:pos="2610"/>
              </w:tabs>
              <w:rPr>
                <w:sz w:val="20"/>
                <w:szCs w:val="20"/>
              </w:rPr>
            </w:pPr>
            <w:r>
              <w:rPr>
                <w:sz w:val="20"/>
                <w:szCs w:val="20"/>
              </w:rPr>
              <w:t>For the treatment of mild to moderate pain, non-drug therapies like touch, heat, and music are particularly beneficial.</w:t>
            </w:r>
          </w:p>
          <w:p>
            <w:pPr>
              <w:pStyle w:val="24"/>
              <w:tabs>
                <w:tab w:val="left" w:pos="2610"/>
              </w:tabs>
              <w:ind w:left="1440"/>
              <w:rPr>
                <w:sz w:val="20"/>
                <w:szCs w:val="20"/>
              </w:rPr>
            </w:pPr>
            <w:r>
              <w:rPr>
                <w:sz w:val="20"/>
                <w:szCs w:val="20"/>
              </w:rPr>
              <w:t>No</w:t>
            </w:r>
          </w:p>
          <w:p>
            <w:pPr>
              <w:pStyle w:val="24"/>
              <w:tabs>
                <w:tab w:val="left" w:pos="2610"/>
              </w:tabs>
              <w:ind w:left="1440"/>
              <w:rPr>
                <w:sz w:val="20"/>
                <w:szCs w:val="20"/>
              </w:rPr>
            </w:pPr>
            <w:r>
              <w:rPr>
                <w:sz w:val="20"/>
                <w:szCs w:val="20"/>
              </w:rPr>
              <w:t>Yes</w:t>
            </w:r>
          </w:p>
        </w:tc>
        <w:tc>
          <w:tcPr>
            <w:tcW w:w="456"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14</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46</w:t>
            </w:r>
          </w:p>
        </w:tc>
        <w:tc>
          <w:tcPr>
            <w:tcW w:w="887"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23.3</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76.7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7" w:type="dxa"/>
            <w:gridSpan w:val="2"/>
          </w:tcPr>
          <w:p>
            <w:pPr>
              <w:pStyle w:val="24"/>
              <w:numPr>
                <w:ilvl w:val="0"/>
                <w:numId w:val="5"/>
              </w:numPr>
              <w:tabs>
                <w:tab w:val="left" w:pos="2610"/>
              </w:tabs>
              <w:rPr>
                <w:sz w:val="20"/>
                <w:szCs w:val="20"/>
              </w:rPr>
            </w:pPr>
            <w:r>
              <w:rPr>
                <w:sz w:val="20"/>
                <w:szCs w:val="20"/>
              </w:rPr>
              <w:t xml:space="preserve">Pain should be assessed before and after administering pain drugs. </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No</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Yes </w:t>
            </w:r>
          </w:p>
        </w:tc>
        <w:tc>
          <w:tcPr>
            <w:tcW w:w="456"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59</w:t>
            </w:r>
          </w:p>
        </w:tc>
        <w:tc>
          <w:tcPr>
            <w:tcW w:w="887"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1.7</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98.3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7" w:hRule="atLeast"/>
        </w:trPr>
        <w:tc>
          <w:tcPr>
            <w:tcW w:w="8007" w:type="dxa"/>
            <w:gridSpan w:val="2"/>
          </w:tcPr>
          <w:p>
            <w:pPr>
              <w:pStyle w:val="24"/>
              <w:numPr>
                <w:ilvl w:val="0"/>
                <w:numId w:val="5"/>
              </w:numPr>
              <w:tabs>
                <w:tab w:val="left" w:pos="2610"/>
              </w:tabs>
              <w:rPr>
                <w:sz w:val="20"/>
                <w:szCs w:val="20"/>
              </w:rPr>
            </w:pPr>
            <w:r>
              <w:rPr>
                <w:sz w:val="20"/>
                <w:szCs w:val="20"/>
              </w:rPr>
              <w:t>Vital signs are always reliable indicators of the intensity of a patient’s pain.</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No</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Yes </w:t>
            </w:r>
          </w:p>
        </w:tc>
        <w:tc>
          <w:tcPr>
            <w:tcW w:w="456" w:type="dxa"/>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56</w:t>
            </w:r>
          </w:p>
        </w:tc>
        <w:tc>
          <w:tcPr>
            <w:tcW w:w="887"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6.7</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93.3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trPr>
        <w:tc>
          <w:tcPr>
            <w:tcW w:w="8007" w:type="dxa"/>
            <w:gridSpan w:val="2"/>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pStyle w:val="24"/>
              <w:numPr>
                <w:ilvl w:val="0"/>
                <w:numId w:val="5"/>
              </w:numPr>
              <w:tabs>
                <w:tab w:val="left" w:pos="2610"/>
              </w:tabs>
              <w:autoSpaceDE w:val="0"/>
              <w:autoSpaceDN w:val="0"/>
              <w:adjustRightInd w:val="0"/>
              <w:rPr>
                <w:sz w:val="20"/>
                <w:szCs w:val="20"/>
              </w:rPr>
            </w:pPr>
            <w:r>
              <w:rPr>
                <w:sz w:val="20"/>
                <w:szCs w:val="20"/>
              </w:rPr>
              <w:t xml:space="preserve">Physical assessment is part of pain management. </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No</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Yes </w:t>
            </w:r>
          </w:p>
        </w:tc>
        <w:tc>
          <w:tcPr>
            <w:tcW w:w="456" w:type="dxa"/>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52</w:t>
            </w:r>
          </w:p>
        </w:tc>
        <w:tc>
          <w:tcPr>
            <w:tcW w:w="887" w:type="dxa"/>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13.3</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86.7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8007" w:type="dxa"/>
            <w:gridSpan w:val="2"/>
          </w:tcPr>
          <w:p>
            <w:pPr>
              <w:pStyle w:val="24"/>
              <w:numPr>
                <w:ilvl w:val="0"/>
                <w:numId w:val="5"/>
              </w:numPr>
              <w:tabs>
                <w:tab w:val="left" w:pos="2610"/>
              </w:tabs>
              <w:rPr>
                <w:sz w:val="20"/>
                <w:szCs w:val="20"/>
              </w:rPr>
            </w:pPr>
            <w:r>
              <w:rPr>
                <w:sz w:val="20"/>
                <w:szCs w:val="20"/>
              </w:rPr>
              <w:t>The most accurate judge of the intensity of the patient’s pain is the primary nurse.</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No</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Yes </w:t>
            </w:r>
          </w:p>
        </w:tc>
        <w:tc>
          <w:tcPr>
            <w:tcW w:w="456" w:type="dxa"/>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39</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21</w:t>
            </w:r>
          </w:p>
        </w:tc>
        <w:tc>
          <w:tcPr>
            <w:tcW w:w="887" w:type="dxa"/>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65.0</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35.0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7" w:type="dxa"/>
            <w:gridSpan w:val="2"/>
          </w:tcPr>
          <w:p>
            <w:pPr>
              <w:pStyle w:val="24"/>
              <w:numPr>
                <w:ilvl w:val="0"/>
                <w:numId w:val="5"/>
              </w:numPr>
              <w:tabs>
                <w:tab w:val="left" w:pos="2610"/>
              </w:tabs>
              <w:autoSpaceDE w:val="0"/>
              <w:autoSpaceDN w:val="0"/>
              <w:adjustRightInd w:val="0"/>
              <w:rPr>
                <w:sz w:val="20"/>
                <w:szCs w:val="20"/>
              </w:rPr>
            </w:pPr>
            <w:r>
              <w:rPr>
                <w:sz w:val="20"/>
                <w:szCs w:val="20"/>
              </w:rPr>
              <w:t xml:space="preserve">Is character, onset, location &amp; duration of pain important in pain assessment? </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No</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Yes</w:t>
            </w:r>
          </w:p>
        </w:tc>
        <w:tc>
          <w:tcPr>
            <w:tcW w:w="456" w:type="dxa"/>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59</w:t>
            </w:r>
          </w:p>
        </w:tc>
        <w:tc>
          <w:tcPr>
            <w:tcW w:w="887" w:type="dxa"/>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1.7</w:t>
            </w:r>
          </w:p>
          <w:p>
            <w:pPr>
              <w:keepNext/>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98.3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7" w:type="dxa"/>
            <w:gridSpan w:val="2"/>
          </w:tcPr>
          <w:p>
            <w:pPr>
              <w:pStyle w:val="24"/>
              <w:numPr>
                <w:ilvl w:val="0"/>
                <w:numId w:val="5"/>
              </w:numPr>
              <w:tabs>
                <w:tab w:val="left" w:pos="2610"/>
              </w:tabs>
              <w:rPr>
                <w:sz w:val="20"/>
                <w:szCs w:val="20"/>
              </w:rPr>
            </w:pPr>
            <w:r>
              <w:rPr>
                <w:sz w:val="20"/>
                <w:szCs w:val="20"/>
              </w:rPr>
              <w:t xml:space="preserve">Observation is part of the method used in surgical pain assessment. </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No</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Yes</w:t>
            </w:r>
          </w:p>
        </w:tc>
        <w:tc>
          <w:tcPr>
            <w:tcW w:w="456" w:type="dxa"/>
          </w:tcPr>
          <w:p>
            <w:pPr>
              <w:tabs>
                <w:tab w:val="left" w:pos="2610"/>
              </w:tabs>
              <w:spacing w:after="0" w:line="240" w:lineRule="auto"/>
              <w:rPr>
                <w:rFonts w:ascii="Times New Roman" w:hAnsi="Times New Roman" w:eastAsia="Times New Roman" w:cs="Times New Roman"/>
                <w:sz w:val="20"/>
                <w:szCs w:val="20"/>
              </w:rPr>
            </w:pPr>
          </w:p>
          <w:p>
            <w:pPr>
              <w:tabs>
                <w:tab w:val="left" w:pos="2610"/>
              </w:tabs>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12</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48</w:t>
            </w:r>
          </w:p>
        </w:tc>
        <w:tc>
          <w:tcPr>
            <w:tcW w:w="887" w:type="dxa"/>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20.0</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7" w:type="dxa"/>
            <w:gridSpan w:val="2"/>
          </w:tcPr>
          <w:p>
            <w:pPr>
              <w:pStyle w:val="24"/>
              <w:numPr>
                <w:ilvl w:val="0"/>
                <w:numId w:val="5"/>
              </w:numPr>
              <w:tabs>
                <w:tab w:val="left" w:pos="2610"/>
              </w:tabs>
              <w:rPr>
                <w:sz w:val="20"/>
                <w:szCs w:val="20"/>
              </w:rPr>
            </w:pPr>
            <w:r>
              <w:rPr>
                <w:sz w:val="20"/>
                <w:szCs w:val="20"/>
              </w:rPr>
              <w:t xml:space="preserve">Patients should be individually assessed to determine cultural influences in pain expression. </w:t>
            </w:r>
          </w:p>
          <w:p>
            <w:pPr>
              <w:tabs>
                <w:tab w:val="left" w:pos="2610"/>
              </w:tabs>
              <w:autoSpaceDE w:val="0"/>
              <w:autoSpaceDN w:val="0"/>
              <w:adjustRightInd w:val="0"/>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No</w:t>
            </w:r>
          </w:p>
          <w:p>
            <w:pPr>
              <w:tabs>
                <w:tab w:val="left" w:pos="2610"/>
              </w:tabs>
              <w:spacing w:after="0" w:line="240" w:lineRule="auto"/>
              <w:ind w:left="1440"/>
              <w:rPr>
                <w:rFonts w:ascii="Times New Roman" w:hAnsi="Times New Roman" w:eastAsia="Times New Roman" w:cs="Times New Roman"/>
                <w:sz w:val="20"/>
                <w:szCs w:val="20"/>
              </w:rPr>
            </w:pPr>
            <w:r>
              <w:rPr>
                <w:rFonts w:ascii="Times New Roman" w:hAnsi="Times New Roman" w:eastAsia="Times New Roman" w:cs="Times New Roman"/>
                <w:sz w:val="20"/>
                <w:szCs w:val="20"/>
              </w:rPr>
              <w:t>Yes</w:t>
            </w:r>
          </w:p>
        </w:tc>
        <w:tc>
          <w:tcPr>
            <w:tcW w:w="456" w:type="dxa"/>
          </w:tcPr>
          <w:p>
            <w:pPr>
              <w:tabs>
                <w:tab w:val="left" w:pos="2610"/>
              </w:tabs>
              <w:spacing w:after="0" w:line="240" w:lineRule="auto"/>
              <w:jc w:val="center"/>
              <w:rPr>
                <w:rFonts w:ascii="Times New Roman" w:hAnsi="Times New Roman" w:eastAsia="Times New Roman" w:cs="Times New Roman"/>
                <w:sz w:val="20"/>
                <w:szCs w:val="20"/>
              </w:rPr>
            </w:pPr>
          </w:p>
          <w:p>
            <w:pPr>
              <w:tabs>
                <w:tab w:val="left" w:pos="2610"/>
              </w:tabs>
              <w:spacing w:after="0" w:line="240" w:lineRule="auto"/>
              <w:jc w:val="center"/>
              <w:rPr>
                <w:rFonts w:ascii="Times New Roman" w:hAnsi="Times New Roman" w:eastAsia="Times New Roman" w:cs="Times New Roman"/>
                <w:sz w:val="20"/>
                <w:szCs w:val="20"/>
              </w:rPr>
            </w:pPr>
          </w:p>
          <w:p>
            <w:pPr>
              <w:tabs>
                <w:tab w:val="left" w:pos="2610"/>
              </w:tabs>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p>
            <w:pPr>
              <w:tabs>
                <w:tab w:val="left" w:pos="2610"/>
              </w:tabs>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51</w:t>
            </w:r>
          </w:p>
        </w:tc>
        <w:tc>
          <w:tcPr>
            <w:tcW w:w="887" w:type="dxa"/>
          </w:tcPr>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15.0</w:t>
            </w:r>
          </w:p>
          <w:p>
            <w:pPr>
              <w:tabs>
                <w:tab w:val="left" w:pos="2610"/>
              </w:tabs>
              <w:autoSpaceDE w:val="0"/>
              <w:autoSpaceDN w:val="0"/>
              <w:adjustRightInd w:val="0"/>
              <w:spacing w:after="0" w:line="240" w:lineRule="auto"/>
              <w:jc w:val="center"/>
              <w:rPr>
                <w:rFonts w:ascii="Times New Roman" w:hAnsi="Times New Roman" w:eastAsia="Times New Roman" w:cs="Times New Roman"/>
                <w:sz w:val="20"/>
                <w:szCs w:val="20"/>
              </w:rPr>
            </w:pPr>
            <w:r>
              <w:rPr>
                <w:rFonts w:ascii="Times New Roman" w:hAnsi="Times New Roman" w:eastAsia="Times New Roman" w:cs="Times New Roman"/>
                <w:sz w:val="20"/>
                <w:szCs w:val="20"/>
              </w:rPr>
              <w:t>85.0</w:t>
            </w:r>
          </w:p>
        </w:tc>
      </w:tr>
    </w:tbl>
    <w:p>
      <w:pPr>
        <w:tabs>
          <w:tab w:val="left" w:pos="261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pPr>
        <w:tabs>
          <w:tab w:val="left" w:pos="261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Table 5 shows that most of the respondents had good knowledge of postoperative pain management. For example, more than eighty-six percent of the respondents (86.7%) knew that after administering the initial dose of an opioid, the subsequent doses are adjusted according to the level of the patient’s pain. Correspondingly, more than seventy-six percent of the respondents (76.7) knew that nondrug interventions are effective in the management of mild to moderate levels of post-operative pain. Likewise, more than sixty-six percent of the respondents (66.7%) knew that the distraction method works best for patients not having severe pain. In addition, more than ninety-eight percent of the respondents (98.7%) knew that pain should be assessed before and after drug administration. Similarly, more than ninety-three percent of the respondents (93.3%) knew that vital signs are reliable indicators of a patient’s pain intensity. Moreover, 87.7% knew that physical assessment is part of pain management. </w:t>
      </w:r>
    </w:p>
    <w:p>
      <w:pPr>
        <w:tabs>
          <w:tab w:val="left" w:pos="261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Additionally, more than ninety-eight percent of the respondents (98.3%) knew that character, onset, location &amp; duration of pain were important in pain assessment. Further, eighty percent of respondents (80%) knew that observations are part of surgical pain assessment. Besides, 85% of the respondents knew that culture impacts pain expression therefore patients should be assessed individually. However, a noticeable number of respondents had low knowledge of postoperative pain assessment. For instance, sixty percent (60%) of the respondents didn’t know that if a patient slept with no movement postoperatively, it indicated that the patient wasn’t in pain. Lastly, thirty-five percent of the respondents (35%) didn’t know that the patients were the most accurate judge of their pain.</w:t>
      </w:r>
    </w:p>
    <w:p>
      <w:pPr>
        <w:pStyle w:val="3"/>
        <w:jc w:val="both"/>
        <w:rPr>
          <w:rFonts w:ascii="Times New Roman" w:hAnsi="Times New Roman" w:cs="Times New Roman"/>
          <w:sz w:val="24"/>
          <w:szCs w:val="24"/>
        </w:rPr>
      </w:pPr>
      <w:bookmarkStart w:id="176" w:name="_Toc134604180"/>
      <w:bookmarkStart w:id="177" w:name="_Toc142753426"/>
      <w:bookmarkStart w:id="178" w:name="_Hlk117242806"/>
      <w:r>
        <w:rPr>
          <w:rFonts w:ascii="Times New Roman" w:hAnsi="Times New Roman" w:cs="Times New Roman"/>
          <w:sz w:val="24"/>
          <w:szCs w:val="24"/>
        </w:rPr>
        <w:t>Effect of Educational Intervention on Nurse’s Knowledge towards Post-operative Pain Management.</w:t>
      </w:r>
      <w:bookmarkEnd w:id="176"/>
      <w:bookmarkEnd w:id="177"/>
    </w:p>
    <w:p>
      <w:pPr>
        <w:tabs>
          <w:tab w:val="left" w:pos="2610"/>
        </w:tabs>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researcher wanted to find out whether the educational intervention had any impact on the nurse’s knowledge towards post-operative pain management. The total knowledge scores for both the pretest and posttest are presented in the tables located in the appendix. </w:t>
      </w:r>
      <w:bookmarkStart w:id="179" w:name="_Hlk117337149"/>
      <w:r>
        <w:rPr>
          <w:rFonts w:ascii="Times New Roman" w:hAnsi="Times New Roman" w:cs="Times New Roman"/>
          <w:sz w:val="24"/>
          <w:szCs w:val="24"/>
        </w:rPr>
        <w:t xml:space="preserve">The total knowledge of the respondents was determined and categorized under two levels where below 79% denoted unacceptable knowledge and above 80% denoted acceptable knowledge respectively. The pretest and posttest findings of knowledge levels are presented in Table </w:t>
      </w:r>
      <w:bookmarkEnd w:id="179"/>
      <w:r>
        <w:rPr>
          <w:rFonts w:ascii="Times New Roman" w:hAnsi="Times New Roman" w:cs="Times New Roman"/>
          <w:sz w:val="24"/>
          <w:szCs w:val="24"/>
        </w:rPr>
        <w:t xml:space="preserve">6. </w:t>
      </w:r>
    </w:p>
    <w:bookmarkEnd w:id="178"/>
    <w:p>
      <w:pPr>
        <w:pStyle w:val="9"/>
        <w:keepNext/>
        <w:rPr>
          <w:rFonts w:ascii="Times New Roman" w:hAnsi="Times New Roman" w:cs="Times New Roman"/>
          <w:sz w:val="24"/>
          <w:szCs w:val="24"/>
        </w:rPr>
      </w:pPr>
      <w:bookmarkStart w:id="180" w:name="_Toc134608198"/>
      <w:bookmarkStart w:id="181" w:name="_Toc120852251"/>
      <w:bookmarkStart w:id="182" w:name="_Toc134604181"/>
    </w:p>
    <w:p/>
    <w:p>
      <w:pPr>
        <w:pStyle w:val="9"/>
        <w:keepNext/>
        <w:rPr>
          <w:rFonts w:ascii="Times New Roman" w:hAnsi="Times New Roman" w:cs="Times New Roman"/>
          <w:sz w:val="24"/>
          <w:szCs w:val="24"/>
        </w:rPr>
      </w:pPr>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t xml:space="preserve"> Comparison of pre and post knowledge</w:t>
      </w:r>
      <w:bookmarkEnd w:id="180"/>
    </w:p>
    <w:bookmarkEnd w:id="181"/>
    <w:bookmarkEnd w:id="182"/>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0"/>
        <w:gridCol w:w="2735"/>
        <w:gridCol w:w="4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490" w:type="dxa"/>
          </w:tcPr>
          <w:p>
            <w:pPr>
              <w:tabs>
                <w:tab w:val="left" w:pos="2610"/>
              </w:tabs>
              <w:spacing w:after="0" w:line="240" w:lineRule="auto"/>
              <w:rPr>
                <w:rFonts w:ascii="Times New Roman" w:hAnsi="Times New Roman" w:cs="Times New Roman"/>
                <w:sz w:val="24"/>
                <w:szCs w:val="24"/>
              </w:rPr>
            </w:pPr>
          </w:p>
        </w:tc>
        <w:tc>
          <w:tcPr>
            <w:tcW w:w="7145" w:type="dxa"/>
            <w:gridSpan w:val="2"/>
          </w:tcPr>
          <w:p>
            <w:pPr>
              <w:tabs>
                <w:tab w:val="left" w:pos="261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Knowledge totals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490" w:type="dxa"/>
          </w:tcPr>
          <w:p>
            <w:pPr>
              <w:tabs>
                <w:tab w:val="left" w:pos="2610"/>
              </w:tabs>
              <w:spacing w:after="0" w:line="240" w:lineRule="auto"/>
              <w:rPr>
                <w:rFonts w:ascii="Times New Roman" w:hAnsi="Times New Roman" w:cs="Times New Roman"/>
                <w:sz w:val="24"/>
                <w:szCs w:val="24"/>
              </w:rPr>
            </w:pPr>
          </w:p>
        </w:tc>
        <w:tc>
          <w:tcPr>
            <w:tcW w:w="2735"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Pretest</w:t>
            </w:r>
          </w:p>
        </w:tc>
        <w:tc>
          <w:tcPr>
            <w:tcW w:w="4410"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Posttest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490" w:type="dxa"/>
          </w:tcPr>
          <w:p>
            <w:pPr>
              <w:tabs>
                <w:tab w:val="left" w:pos="26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Below 79%</w:t>
            </w:r>
          </w:p>
        </w:tc>
        <w:tc>
          <w:tcPr>
            <w:tcW w:w="2735"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96.7%</w:t>
            </w:r>
          </w:p>
        </w:tc>
        <w:tc>
          <w:tcPr>
            <w:tcW w:w="4410"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53.3%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490" w:type="dxa"/>
          </w:tcPr>
          <w:p>
            <w:pPr>
              <w:tabs>
                <w:tab w:val="left" w:pos="26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Above 80%</w:t>
            </w:r>
          </w:p>
        </w:tc>
        <w:tc>
          <w:tcPr>
            <w:tcW w:w="2735"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3.3%</w:t>
            </w:r>
          </w:p>
        </w:tc>
        <w:tc>
          <w:tcPr>
            <w:tcW w:w="4410"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46.7%</w:t>
            </w:r>
          </w:p>
        </w:tc>
      </w:tr>
    </w:tbl>
    <w:p>
      <w:pPr>
        <w:tabs>
          <w:tab w:val="left" w:pos="2610"/>
        </w:tabs>
        <w:spacing w:line="480" w:lineRule="auto"/>
        <w:ind w:firstLine="720"/>
        <w:jc w:val="both"/>
        <w:rPr>
          <w:rFonts w:ascii="Times New Roman" w:hAnsi="Times New Roman" w:cs="Times New Roman"/>
          <w:sz w:val="24"/>
          <w:szCs w:val="24"/>
        </w:rPr>
      </w:pPr>
    </w:p>
    <w:p>
      <w:pPr>
        <w:tabs>
          <w:tab w:val="left" w:pos="2610"/>
        </w:tabs>
        <w:spacing w:line="480" w:lineRule="auto"/>
        <w:ind w:firstLine="720"/>
        <w:jc w:val="both"/>
        <w:rPr>
          <w:rFonts w:ascii="Times New Roman" w:hAnsi="Times New Roman" w:cs="Times New Roman"/>
          <w:b/>
          <w:bCs/>
          <w:sz w:val="24"/>
          <w:szCs w:val="24"/>
        </w:rPr>
      </w:pPr>
      <w:r>
        <w:rPr>
          <w:rFonts w:ascii="Times New Roman" w:hAnsi="Times New Roman" w:cs="Times New Roman"/>
          <w:sz w:val="24"/>
          <w:szCs w:val="24"/>
        </w:rPr>
        <w:t xml:space="preserve">Table 6 shows that majority of the respondents (96.7%) had a low level of knowledge about postoperative pain management before the intervention. However, there was a notable improvement in the level of knowledge following the intervention where the number from 3.3%(pretest) to 46.7%(posttest). The researcher further wanted to determine the effect of the intervention on the nurse’s knowledge of postoperative pain management. A paired t-test was conducted to compare the means of the pre and post-test knowledge to determine the significance. The findings are presented in Table 7. </w:t>
      </w:r>
    </w:p>
    <w:p>
      <w:pPr>
        <w:pStyle w:val="9"/>
        <w:keepNext/>
        <w:rPr>
          <w:rFonts w:ascii="Times New Roman" w:hAnsi="Times New Roman" w:cs="Times New Roman"/>
          <w:sz w:val="24"/>
          <w:szCs w:val="24"/>
        </w:rPr>
      </w:pPr>
      <w:bookmarkStart w:id="183" w:name="_Toc134608199"/>
      <w:bookmarkStart w:id="184" w:name="_Toc120852252"/>
      <w:bookmarkStart w:id="185" w:name="_Toc134604182"/>
      <w:bookmarkStart w:id="186" w:name="_Hlk116135724"/>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7</w:t>
      </w:r>
      <w:r>
        <w:rPr>
          <w:rFonts w:ascii="Times New Roman" w:hAnsi="Times New Roman" w:cs="Times New Roman"/>
          <w:sz w:val="24"/>
          <w:szCs w:val="24"/>
        </w:rPr>
        <w:fldChar w:fldCharType="end"/>
      </w:r>
      <w:r>
        <w:rPr>
          <w:rFonts w:ascii="Times New Roman" w:hAnsi="Times New Roman" w:cs="Times New Roman"/>
          <w:sz w:val="24"/>
          <w:szCs w:val="24"/>
        </w:rPr>
        <w:t>:  Paired sample test</w:t>
      </w:r>
      <w:bookmarkEnd w:id="183"/>
    </w:p>
    <w:bookmarkEnd w:id="184"/>
    <w:bookmarkEnd w:id="185"/>
    <w:tbl>
      <w:tblPr>
        <w:tblStyle w:val="19"/>
        <w:tblW w:w="98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0"/>
        <w:gridCol w:w="1010"/>
        <w:gridCol w:w="1203"/>
        <w:gridCol w:w="891"/>
        <w:gridCol w:w="1324"/>
        <w:gridCol w:w="1074"/>
        <w:gridCol w:w="923"/>
        <w:gridCol w:w="540"/>
        <w:gridCol w:w="15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vMerge w:val="restart"/>
          </w:tcPr>
          <w:p>
            <w:pPr>
              <w:tabs>
                <w:tab w:val="left" w:pos="2610"/>
              </w:tabs>
              <w:spacing w:after="0" w:line="480" w:lineRule="auto"/>
              <w:rPr>
                <w:rFonts w:ascii="Times New Roman" w:hAnsi="Times New Roman" w:cs="Times New Roman"/>
                <w:sz w:val="24"/>
                <w:szCs w:val="24"/>
              </w:rPr>
            </w:pPr>
          </w:p>
        </w:tc>
        <w:tc>
          <w:tcPr>
            <w:tcW w:w="8495" w:type="dxa"/>
            <w:gridSpan w:val="8"/>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Paired differences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vMerge w:val="continue"/>
          </w:tcPr>
          <w:p>
            <w:pPr>
              <w:tabs>
                <w:tab w:val="left" w:pos="2610"/>
              </w:tabs>
              <w:spacing w:after="0" w:line="480" w:lineRule="auto"/>
              <w:rPr>
                <w:rFonts w:ascii="Times New Roman" w:hAnsi="Times New Roman" w:cs="Times New Roman"/>
                <w:sz w:val="24"/>
                <w:szCs w:val="24"/>
              </w:rPr>
            </w:pPr>
          </w:p>
        </w:tc>
        <w:tc>
          <w:tcPr>
            <w:tcW w:w="1010"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Mean </w:t>
            </w:r>
          </w:p>
        </w:tc>
        <w:tc>
          <w:tcPr>
            <w:tcW w:w="1203"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Std. Deviation</w:t>
            </w:r>
          </w:p>
        </w:tc>
        <w:tc>
          <w:tcPr>
            <w:tcW w:w="891"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Std. Error Mean</w:t>
            </w:r>
          </w:p>
        </w:tc>
        <w:tc>
          <w:tcPr>
            <w:tcW w:w="2398" w:type="dxa"/>
            <w:gridSpan w:val="2"/>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95% confidence interval of the Difference </w:t>
            </w:r>
          </w:p>
        </w:tc>
        <w:tc>
          <w:tcPr>
            <w:tcW w:w="923"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t</w:t>
            </w:r>
          </w:p>
        </w:tc>
        <w:tc>
          <w:tcPr>
            <w:tcW w:w="540"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df</w:t>
            </w:r>
          </w:p>
        </w:tc>
        <w:tc>
          <w:tcPr>
            <w:tcW w:w="1530"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Sig.(2-tailed)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vMerge w:val="restart"/>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Pair 1</w:t>
            </w:r>
          </w:p>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Pretest &amp; post-test knowledge</w:t>
            </w:r>
          </w:p>
        </w:tc>
        <w:tc>
          <w:tcPr>
            <w:tcW w:w="1010" w:type="dxa"/>
            <w:vMerge w:val="restart"/>
          </w:tcPr>
          <w:p>
            <w:pPr>
              <w:tabs>
                <w:tab w:val="left" w:pos="2610"/>
              </w:tabs>
              <w:spacing w:after="0" w:line="480" w:lineRule="auto"/>
              <w:rPr>
                <w:rFonts w:ascii="Times New Roman" w:hAnsi="Times New Roman" w:cs="Times New Roman"/>
                <w:sz w:val="24"/>
                <w:szCs w:val="24"/>
              </w:rPr>
            </w:pPr>
            <w:bookmarkStart w:id="187" w:name="_Hlk127345259"/>
            <w:r>
              <w:rPr>
                <w:rFonts w:ascii="Times New Roman" w:hAnsi="Times New Roman" w:cs="Times New Roman"/>
                <w:sz w:val="24"/>
                <w:szCs w:val="24"/>
              </w:rPr>
              <w:t>-11.333</w:t>
            </w:r>
            <w:bookmarkEnd w:id="187"/>
          </w:p>
        </w:tc>
        <w:tc>
          <w:tcPr>
            <w:tcW w:w="1203" w:type="dxa"/>
            <w:vMerge w:val="restart"/>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14.982</w:t>
            </w:r>
          </w:p>
        </w:tc>
        <w:tc>
          <w:tcPr>
            <w:tcW w:w="891" w:type="dxa"/>
            <w:vMerge w:val="restart"/>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1.934</w:t>
            </w:r>
          </w:p>
        </w:tc>
        <w:tc>
          <w:tcPr>
            <w:tcW w:w="1324"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lower</w:t>
            </w:r>
          </w:p>
        </w:tc>
        <w:tc>
          <w:tcPr>
            <w:tcW w:w="1074"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upper</w:t>
            </w:r>
          </w:p>
        </w:tc>
        <w:tc>
          <w:tcPr>
            <w:tcW w:w="923" w:type="dxa"/>
            <w:vMerge w:val="restart"/>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-5.860</w:t>
            </w:r>
          </w:p>
        </w:tc>
        <w:tc>
          <w:tcPr>
            <w:tcW w:w="540" w:type="dxa"/>
            <w:vMerge w:val="restart"/>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59</w:t>
            </w:r>
          </w:p>
        </w:tc>
        <w:tc>
          <w:tcPr>
            <w:tcW w:w="1530" w:type="dxa"/>
            <w:vMerge w:val="restart"/>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vMerge w:val="continue"/>
          </w:tcPr>
          <w:p>
            <w:pPr>
              <w:tabs>
                <w:tab w:val="left" w:pos="2610"/>
              </w:tabs>
              <w:spacing w:after="0" w:line="480" w:lineRule="auto"/>
              <w:rPr>
                <w:rFonts w:ascii="Times New Roman" w:hAnsi="Times New Roman" w:cs="Times New Roman"/>
                <w:b/>
                <w:bCs/>
                <w:sz w:val="24"/>
                <w:szCs w:val="24"/>
              </w:rPr>
            </w:pPr>
          </w:p>
        </w:tc>
        <w:tc>
          <w:tcPr>
            <w:tcW w:w="1010" w:type="dxa"/>
            <w:vMerge w:val="continue"/>
          </w:tcPr>
          <w:p>
            <w:pPr>
              <w:tabs>
                <w:tab w:val="left" w:pos="2610"/>
              </w:tabs>
              <w:spacing w:after="0" w:line="480" w:lineRule="auto"/>
              <w:rPr>
                <w:rFonts w:ascii="Times New Roman" w:hAnsi="Times New Roman" w:cs="Times New Roman"/>
                <w:b/>
                <w:bCs/>
                <w:sz w:val="24"/>
                <w:szCs w:val="24"/>
              </w:rPr>
            </w:pPr>
          </w:p>
        </w:tc>
        <w:tc>
          <w:tcPr>
            <w:tcW w:w="1203" w:type="dxa"/>
            <w:vMerge w:val="continue"/>
          </w:tcPr>
          <w:p>
            <w:pPr>
              <w:tabs>
                <w:tab w:val="left" w:pos="2610"/>
              </w:tabs>
              <w:spacing w:after="0" w:line="480" w:lineRule="auto"/>
              <w:rPr>
                <w:rFonts w:ascii="Times New Roman" w:hAnsi="Times New Roman" w:cs="Times New Roman"/>
                <w:b/>
                <w:bCs/>
                <w:sz w:val="24"/>
                <w:szCs w:val="24"/>
              </w:rPr>
            </w:pPr>
          </w:p>
        </w:tc>
        <w:tc>
          <w:tcPr>
            <w:tcW w:w="891" w:type="dxa"/>
            <w:vMerge w:val="continue"/>
          </w:tcPr>
          <w:p>
            <w:pPr>
              <w:tabs>
                <w:tab w:val="left" w:pos="2610"/>
              </w:tabs>
              <w:spacing w:after="0" w:line="480" w:lineRule="auto"/>
              <w:rPr>
                <w:rFonts w:ascii="Times New Roman" w:hAnsi="Times New Roman" w:cs="Times New Roman"/>
                <w:b/>
                <w:bCs/>
                <w:sz w:val="24"/>
                <w:szCs w:val="24"/>
              </w:rPr>
            </w:pPr>
          </w:p>
        </w:tc>
        <w:tc>
          <w:tcPr>
            <w:tcW w:w="1324"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-15.204</w:t>
            </w:r>
          </w:p>
        </w:tc>
        <w:tc>
          <w:tcPr>
            <w:tcW w:w="1074"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-7.463</w:t>
            </w:r>
          </w:p>
        </w:tc>
        <w:tc>
          <w:tcPr>
            <w:tcW w:w="923" w:type="dxa"/>
            <w:vMerge w:val="continue"/>
          </w:tcPr>
          <w:p>
            <w:pPr>
              <w:tabs>
                <w:tab w:val="left" w:pos="2610"/>
              </w:tabs>
              <w:spacing w:after="0" w:line="480" w:lineRule="auto"/>
              <w:rPr>
                <w:rFonts w:ascii="Times New Roman" w:hAnsi="Times New Roman" w:cs="Times New Roman"/>
                <w:b/>
                <w:bCs/>
                <w:sz w:val="24"/>
                <w:szCs w:val="24"/>
              </w:rPr>
            </w:pPr>
          </w:p>
        </w:tc>
        <w:tc>
          <w:tcPr>
            <w:tcW w:w="540" w:type="dxa"/>
            <w:vMerge w:val="continue"/>
          </w:tcPr>
          <w:p>
            <w:pPr>
              <w:tabs>
                <w:tab w:val="left" w:pos="2610"/>
              </w:tabs>
              <w:spacing w:after="0" w:line="480" w:lineRule="auto"/>
              <w:rPr>
                <w:rFonts w:ascii="Times New Roman" w:hAnsi="Times New Roman" w:cs="Times New Roman"/>
                <w:b/>
                <w:bCs/>
                <w:sz w:val="24"/>
                <w:szCs w:val="24"/>
              </w:rPr>
            </w:pPr>
          </w:p>
        </w:tc>
        <w:tc>
          <w:tcPr>
            <w:tcW w:w="1530" w:type="dxa"/>
            <w:vMerge w:val="continue"/>
          </w:tcPr>
          <w:p>
            <w:pPr>
              <w:tabs>
                <w:tab w:val="left" w:pos="2610"/>
              </w:tabs>
              <w:spacing w:after="0" w:line="480" w:lineRule="auto"/>
              <w:rPr>
                <w:rFonts w:ascii="Times New Roman" w:hAnsi="Times New Roman" w:cs="Times New Roman"/>
                <w:b/>
                <w:bCs/>
                <w:sz w:val="24"/>
                <w:szCs w:val="24"/>
              </w:rPr>
            </w:pPr>
          </w:p>
        </w:tc>
      </w:tr>
    </w:tbl>
    <w:p>
      <w:pPr>
        <w:tabs>
          <w:tab w:val="left" w:pos="2610"/>
        </w:tabs>
        <w:spacing w:line="480" w:lineRule="auto"/>
        <w:ind w:firstLine="720"/>
        <w:rPr>
          <w:rFonts w:ascii="Times New Roman" w:hAnsi="Times New Roman" w:cs="Times New Roman"/>
          <w:b/>
          <w:bCs/>
          <w:sz w:val="24"/>
          <w:szCs w:val="24"/>
        </w:rPr>
      </w:pPr>
    </w:p>
    <w:p>
      <w:pPr>
        <w:tabs>
          <w:tab w:val="left" w:pos="2610"/>
        </w:tabs>
        <w:spacing w:line="480" w:lineRule="auto"/>
        <w:jc w:val="both"/>
        <w:rPr>
          <w:rFonts w:ascii="Times New Roman" w:hAnsi="Times New Roman" w:cs="Times New Roman"/>
          <w:sz w:val="24"/>
          <w:szCs w:val="24"/>
        </w:rPr>
      </w:pPr>
      <w:bookmarkStart w:id="188" w:name="_Hlk116120240"/>
      <w:r>
        <w:rPr>
          <w:rFonts w:ascii="Times New Roman" w:hAnsi="Times New Roman" w:cs="Times New Roman"/>
          <w:sz w:val="24"/>
          <w:szCs w:val="24"/>
        </w:rPr>
        <w:t xml:space="preserve">Table 7 shows that the education intervention had a positive effect on the nurse’s knowledge towards post-operative pain management </w:t>
      </w:r>
      <w:bookmarkStart w:id="189" w:name="_Hlk134549629"/>
      <w:r>
        <w:rPr>
          <w:rFonts w:ascii="Times New Roman" w:hAnsi="Times New Roman" w:cs="Times New Roman"/>
          <w:sz w:val="24"/>
          <w:szCs w:val="24"/>
        </w:rPr>
        <w:t xml:space="preserve">(M= -11.333, SD= 14.982). t =-5.860, dt= 59, p= 0.01.  </w:t>
      </w:r>
      <w:bookmarkEnd w:id="188"/>
      <w:bookmarkEnd w:id="189"/>
      <w:r>
        <w:rPr>
          <w:rFonts w:ascii="Times New Roman" w:hAnsi="Times New Roman" w:cs="Times New Roman"/>
          <w:sz w:val="24"/>
          <w:szCs w:val="24"/>
        </w:rPr>
        <w:t>The results suggested that the teaching intervention was statistically significant to the nurse’s knowledge of postoperative pain management.</w:t>
      </w:r>
      <w:bookmarkEnd w:id="186"/>
    </w:p>
    <w:p>
      <w:pPr>
        <w:keepNext/>
        <w:keepLines/>
        <w:spacing w:before="40" w:after="0" w:line="480" w:lineRule="auto"/>
        <w:outlineLvl w:val="1"/>
        <w:rPr>
          <w:rFonts w:ascii="Times New Roman" w:hAnsi="Times New Roman" w:cs="Times New Roman" w:eastAsiaTheme="majorEastAsia"/>
          <w:color w:val="000000" w:themeColor="text1"/>
          <w:sz w:val="24"/>
          <w:szCs w:val="24"/>
          <w14:textFill>
            <w14:solidFill>
              <w14:schemeClr w14:val="tx1"/>
            </w14:solidFill>
          </w14:textFill>
        </w:rPr>
      </w:pPr>
      <w:r>
        <w:rPr>
          <w:rFonts w:ascii="Times New Roman" w:hAnsi="Times New Roman" w:cs="Times New Roman" w:eastAsiaTheme="majorEastAsia"/>
          <w:b/>
          <w:color w:val="000000" w:themeColor="text1"/>
          <w:sz w:val="24"/>
          <w:szCs w:val="24"/>
          <w14:textFill>
            <w14:solidFill>
              <w14:schemeClr w14:val="tx1"/>
            </w14:solidFill>
          </w14:textFill>
        </w:rPr>
        <w:t>The Effect of Integrating the Pain Assessment Scale on the Nurse’s Attitude towards Post Operative Pain Management.</w:t>
      </w:r>
    </w:p>
    <w:p>
      <w:pPr>
        <w:pStyle w:val="9"/>
        <w:tabs>
          <w:tab w:val="left" w:pos="2610"/>
        </w:tabs>
        <w:spacing w:line="480" w:lineRule="auto"/>
        <w:ind w:firstLine="720"/>
        <w:jc w:val="both"/>
        <w:rPr>
          <w:rFonts w:ascii="Times New Roman" w:hAnsi="Times New Roman" w:cs="Times New Roman"/>
          <w:i w:val="0"/>
          <w:iCs w:val="0"/>
          <w:color w:val="auto"/>
          <w:sz w:val="24"/>
          <w:szCs w:val="24"/>
        </w:rPr>
      </w:pPr>
      <w:r>
        <w:rPr>
          <w:rFonts w:ascii="Times New Roman" w:hAnsi="Times New Roman" w:cs="Times New Roman"/>
          <w:i w:val="0"/>
          <w:iCs w:val="0"/>
          <w:color w:val="auto"/>
          <w:sz w:val="24"/>
          <w:szCs w:val="24"/>
        </w:rPr>
        <w:t>The researcher conducted a pretest on nurses’ attitudes towards postoperative pain management before educating the nurses on how to use the pain assessment scale in postoperative pain management. The respondents were asked about the different methods of postoperative pain management</w:t>
      </w:r>
      <w:r>
        <w:rPr>
          <w:rFonts w:ascii="Times New Roman" w:hAnsi="Times New Roman" w:cs="Times New Roman"/>
          <w:bCs/>
          <w:i w:val="0"/>
          <w:iCs w:val="0"/>
          <w:color w:val="auto"/>
          <w:sz w:val="24"/>
          <w:szCs w:val="24"/>
        </w:rPr>
        <w:t xml:space="preserve">.  The researcher used statements in which the respondent agreed or disagreed to reflect their attitude towards post-operative pain management by the use of a Likert scale. </w:t>
      </w:r>
      <w:bookmarkStart w:id="190" w:name="_Hlk117259045"/>
      <w:r>
        <w:rPr>
          <w:rFonts w:ascii="Times New Roman" w:hAnsi="Times New Roman" w:cs="Times New Roman"/>
          <w:bCs/>
          <w:i w:val="0"/>
          <w:iCs w:val="0"/>
          <w:color w:val="auto"/>
          <w:sz w:val="24"/>
          <w:szCs w:val="24"/>
        </w:rPr>
        <w:t xml:space="preserve">All the items were stated positively except statements </w:t>
      </w:r>
      <w:r>
        <w:rPr>
          <w:rFonts w:ascii="Times New Roman" w:hAnsi="Times New Roman" w:cs="Times New Roman"/>
          <w:i w:val="0"/>
          <w:iCs w:val="0"/>
          <w:color w:val="auto"/>
          <w:sz w:val="24"/>
          <w:szCs w:val="24"/>
        </w:rPr>
        <w:t>4 and 5 in Table 12. In these statements, a respondent who disagreed with them tended to reflect an acceptable attitude towards post-operative pain management</w:t>
      </w:r>
      <w:bookmarkEnd w:id="190"/>
      <w:r>
        <w:rPr>
          <w:rFonts w:ascii="Times New Roman" w:hAnsi="Times New Roman" w:cs="Times New Roman"/>
          <w:i w:val="0"/>
          <w:iCs w:val="0"/>
          <w:color w:val="auto"/>
          <w:sz w:val="24"/>
          <w:szCs w:val="24"/>
        </w:rPr>
        <w:t xml:space="preserve">.  The respondents who strongly disagreed, disagreed, agreed, and strongly agreed with these statements were scored (4, 3, 2, &amp; 1) respectively. The findings are presented in Table 8. </w:t>
      </w:r>
    </w:p>
    <w:p/>
    <w:p/>
    <w:p/>
    <w:p/>
    <w:p/>
    <w:p/>
    <w:p/>
    <w:p/>
    <w:p/>
    <w:p>
      <w:pPr>
        <w:pStyle w:val="9"/>
        <w:keepNext/>
        <w:rPr>
          <w:rFonts w:ascii="Times New Roman" w:hAnsi="Times New Roman" w:cs="Times New Roman"/>
          <w:sz w:val="24"/>
          <w:szCs w:val="24"/>
        </w:rPr>
      </w:pPr>
      <w:bookmarkStart w:id="191" w:name="_Toc134604184"/>
      <w:bookmarkStart w:id="192" w:name="_Toc120852254"/>
      <w:bookmarkStart w:id="193" w:name="_Toc134608200"/>
      <w:r>
        <w:rPr>
          <w:rFonts w:ascii="Times New Roman" w:hAnsi="Times New Roman" w:cs="Times New Roman"/>
          <w:sz w:val="24"/>
          <w:szCs w:val="24"/>
        </w:rPr>
        <w:t>Table 8 Pretest attitude toward post-operative pain management.</w:t>
      </w:r>
      <w:bookmarkEnd w:id="191"/>
      <w:bookmarkEnd w:id="192"/>
      <w:bookmarkEnd w:id="193"/>
    </w:p>
    <w:tbl>
      <w:tblPr>
        <w:tblStyle w:val="48"/>
        <w:tblW w:w="97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41"/>
        <w:gridCol w:w="811"/>
        <w:gridCol w:w="783"/>
        <w:gridCol w:w="705"/>
        <w:gridCol w:w="626"/>
        <w:gridCol w:w="1554"/>
        <w:gridCol w:w="11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404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Variable </w:t>
            </w:r>
          </w:p>
        </w:tc>
        <w:tc>
          <w:tcPr>
            <w:tcW w:w="81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SD</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78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D</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70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A</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62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SA</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w:t>
            </w:r>
          </w:p>
        </w:tc>
        <w:tc>
          <w:tcPr>
            <w:tcW w:w="1554"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Mean </w:t>
            </w:r>
          </w:p>
        </w:tc>
        <w:tc>
          <w:tcPr>
            <w:tcW w:w="119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7" w:hRule="atLeast"/>
        </w:trPr>
        <w:tc>
          <w:tcPr>
            <w:tcW w:w="4041" w:type="dxa"/>
            <w:tcBorders>
              <w:top w:val="single" w:color="auto" w:sz="4" w:space="0"/>
              <w:left w:val="single" w:color="auto" w:sz="4" w:space="0"/>
              <w:bottom w:val="single" w:color="auto" w:sz="4" w:space="0"/>
              <w:right w:val="single" w:color="auto" w:sz="4" w:space="0"/>
            </w:tcBorders>
          </w:tcPr>
          <w:p>
            <w:pPr>
              <w:numPr>
                <w:ilvl w:val="0"/>
                <w:numId w:val="6"/>
              </w:numPr>
              <w:tabs>
                <w:tab w:val="left" w:pos="2610"/>
              </w:tabs>
              <w:spacing w:after="0" w:line="240" w:lineRule="auto"/>
              <w:contextualSpacing/>
              <w:rPr>
                <w:rFonts w:ascii="Times New Roman" w:hAnsi="Times New Roman" w:eastAsia="Times New Roman" w:cs="Times New Roman"/>
                <w:sz w:val="20"/>
                <w:szCs w:val="20"/>
              </w:rPr>
            </w:pPr>
            <w:r>
              <w:rPr>
                <w:rFonts w:ascii="Times New Roman" w:hAnsi="Times New Roman" w:eastAsia="Times New Roman" w:cs="Times New Roman"/>
                <w:sz w:val="20"/>
                <w:szCs w:val="20"/>
              </w:rPr>
              <w:t>I anticipate pain in all surgical procedures before I assess and treat pain in a patient.</w:t>
            </w:r>
          </w:p>
          <w:p>
            <w:pPr>
              <w:tabs>
                <w:tab w:val="left" w:pos="2610"/>
              </w:tabs>
              <w:autoSpaceDE w:val="0"/>
              <w:autoSpaceDN w:val="0"/>
              <w:adjustRightInd w:val="0"/>
              <w:spacing w:after="0" w:line="240" w:lineRule="auto"/>
              <w:rPr>
                <w:rFonts w:ascii="Times New Roman" w:hAnsi="Times New Roman" w:eastAsia="MS Mincho" w:cs="Times New Roman"/>
                <w:sz w:val="20"/>
                <w:szCs w:val="20"/>
                <w:lang w:eastAsia="ja-JP"/>
              </w:rPr>
            </w:pPr>
          </w:p>
        </w:tc>
        <w:tc>
          <w:tcPr>
            <w:tcW w:w="81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13</w:t>
            </w:r>
          </w:p>
        </w:tc>
        <w:tc>
          <w:tcPr>
            <w:tcW w:w="78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70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24</w:t>
            </w:r>
          </w:p>
        </w:tc>
        <w:tc>
          <w:tcPr>
            <w:tcW w:w="62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17</w:t>
            </w:r>
          </w:p>
        </w:tc>
        <w:tc>
          <w:tcPr>
            <w:tcW w:w="1554"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2.75 </w:t>
            </w:r>
          </w:p>
        </w:tc>
        <w:tc>
          <w:tcPr>
            <w:tcW w:w="119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trPr>
        <w:tc>
          <w:tcPr>
            <w:tcW w:w="4041" w:type="dxa"/>
            <w:tcBorders>
              <w:top w:val="single" w:color="auto" w:sz="4" w:space="0"/>
              <w:left w:val="single" w:color="auto" w:sz="4" w:space="0"/>
              <w:bottom w:val="single" w:color="auto" w:sz="4" w:space="0"/>
              <w:right w:val="single" w:color="auto" w:sz="4" w:space="0"/>
            </w:tcBorders>
          </w:tcPr>
          <w:tbl>
            <w:tblPr>
              <w:tblStyle w:val="7"/>
              <w:tblW w:w="3116" w:type="dxa"/>
              <w:tblInd w:w="0" w:type="dxa"/>
              <w:tblLayout w:type="fixed"/>
              <w:tblCellMar>
                <w:top w:w="0" w:type="dxa"/>
                <w:left w:w="108" w:type="dxa"/>
                <w:bottom w:w="0" w:type="dxa"/>
                <w:right w:w="108" w:type="dxa"/>
              </w:tblCellMar>
            </w:tblPr>
            <w:tblGrid>
              <w:gridCol w:w="3116"/>
            </w:tblGrid>
            <w:tr>
              <w:trPr>
                <w:trHeight w:val="36" w:hRule="atLeast"/>
              </w:trPr>
              <w:tc>
                <w:tcPr>
                  <w:tcW w:w="3116" w:type="dxa"/>
                </w:tcPr>
                <w:p>
                  <w:pPr>
                    <w:numPr>
                      <w:ilvl w:val="0"/>
                      <w:numId w:val="6"/>
                    </w:numPr>
                    <w:tabs>
                      <w:tab w:val="left" w:pos="2610"/>
                    </w:tabs>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 xml:space="preserve">If patient’s thoughts are distracted from pain, they usually do not suffer from severe pain </w:t>
                  </w:r>
                </w:p>
              </w:tc>
            </w:tr>
          </w:tbl>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81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14</w:t>
            </w:r>
          </w:p>
        </w:tc>
        <w:tc>
          <w:tcPr>
            <w:tcW w:w="78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12</w:t>
            </w:r>
          </w:p>
        </w:tc>
        <w:tc>
          <w:tcPr>
            <w:tcW w:w="70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21</w:t>
            </w:r>
          </w:p>
        </w:tc>
        <w:tc>
          <w:tcPr>
            <w:tcW w:w="62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13</w:t>
            </w:r>
          </w:p>
        </w:tc>
        <w:tc>
          <w:tcPr>
            <w:tcW w:w="1554"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2.55 </w:t>
            </w:r>
          </w:p>
        </w:tc>
        <w:tc>
          <w:tcPr>
            <w:tcW w:w="119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trPr>
        <w:tc>
          <w:tcPr>
            <w:tcW w:w="404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bl>
            <w:tblPr>
              <w:tblStyle w:val="7"/>
              <w:tblW w:w="3741" w:type="dxa"/>
              <w:tblInd w:w="0" w:type="dxa"/>
              <w:tblLayout w:type="fixed"/>
              <w:tblCellMar>
                <w:top w:w="0" w:type="dxa"/>
                <w:left w:w="108" w:type="dxa"/>
                <w:bottom w:w="0" w:type="dxa"/>
                <w:right w:w="108" w:type="dxa"/>
              </w:tblCellMar>
            </w:tblPr>
            <w:tblGrid>
              <w:gridCol w:w="3741"/>
            </w:tblGrid>
            <w:tr>
              <w:tblPrEx>
                <w:tblCellMar>
                  <w:top w:w="0" w:type="dxa"/>
                  <w:left w:w="108" w:type="dxa"/>
                  <w:bottom w:w="0" w:type="dxa"/>
                  <w:right w:w="108" w:type="dxa"/>
                </w:tblCellMar>
              </w:tblPrEx>
              <w:trPr>
                <w:trHeight w:val="648" w:hRule="atLeast"/>
              </w:trPr>
              <w:tc>
                <w:tcPr>
                  <w:tcW w:w="3741" w:type="dxa"/>
                </w:tcPr>
                <w:p>
                  <w:pPr>
                    <w:numPr>
                      <w:ilvl w:val="0"/>
                      <w:numId w:val="6"/>
                    </w:numPr>
                    <w:tabs>
                      <w:tab w:val="left" w:pos="2610"/>
                    </w:tabs>
                    <w:contextualSpacing/>
                    <w:rPr>
                      <w:rFonts w:ascii="Times New Roman" w:hAnsi="Times New Roman" w:cs="Times New Roman"/>
                      <w:sz w:val="20"/>
                      <w:szCs w:val="20"/>
                    </w:rPr>
                  </w:pPr>
                  <w:bookmarkStart w:id="194" w:name="_Hlk116123111"/>
                  <w:r>
                    <w:rPr>
                      <w:rFonts w:ascii="Times New Roman" w:hAnsi="Times New Roman" w:cs="Times New Roman"/>
                      <w:sz w:val="20"/>
                      <w:szCs w:val="20"/>
                    </w:rPr>
                    <w:t>Using pain measurement instruments is integral in post-operative pain management</w:t>
                  </w:r>
                  <w:bookmarkEnd w:id="194"/>
                </w:p>
              </w:tc>
            </w:tr>
          </w:tbl>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81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78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11</w:t>
            </w:r>
          </w:p>
        </w:tc>
        <w:tc>
          <w:tcPr>
            <w:tcW w:w="70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18</w:t>
            </w:r>
          </w:p>
        </w:tc>
        <w:tc>
          <w:tcPr>
            <w:tcW w:w="62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24</w:t>
            </w:r>
          </w:p>
        </w:tc>
        <w:tc>
          <w:tcPr>
            <w:tcW w:w="1554"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2.98 </w:t>
            </w:r>
          </w:p>
        </w:tc>
        <w:tc>
          <w:tcPr>
            <w:tcW w:w="119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404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bl>
            <w:tblPr>
              <w:tblStyle w:val="7"/>
              <w:tblW w:w="3846" w:type="dxa"/>
              <w:tblInd w:w="0" w:type="dxa"/>
              <w:tblLayout w:type="fixed"/>
              <w:tblCellMar>
                <w:top w:w="0" w:type="dxa"/>
                <w:left w:w="108" w:type="dxa"/>
                <w:bottom w:w="0" w:type="dxa"/>
                <w:right w:w="108" w:type="dxa"/>
              </w:tblCellMar>
            </w:tblPr>
            <w:tblGrid>
              <w:gridCol w:w="3846"/>
            </w:tblGrid>
            <w:tr>
              <w:trPr>
                <w:trHeight w:val="61" w:hRule="atLeast"/>
              </w:trPr>
              <w:tc>
                <w:tcPr>
                  <w:tcW w:w="3846" w:type="dxa"/>
                </w:tcPr>
                <w:p>
                  <w:pPr>
                    <w:tabs>
                      <w:tab w:val="left" w:pos="2610"/>
                    </w:tabs>
                    <w:autoSpaceDE w:val="0"/>
                    <w:autoSpaceDN w:val="0"/>
                    <w:adjustRightInd w:val="0"/>
                    <w:spacing w:after="0" w:line="240" w:lineRule="auto"/>
                    <w:rPr>
                      <w:rFonts w:ascii="Times New Roman" w:hAnsi="Times New Roman" w:cs="Times New Roman"/>
                      <w:sz w:val="20"/>
                      <w:szCs w:val="20"/>
                    </w:rPr>
                  </w:pPr>
                </w:p>
              </w:tc>
            </w:tr>
            <w:tr>
              <w:trPr>
                <w:trHeight w:val="61" w:hRule="atLeast"/>
              </w:trPr>
              <w:tc>
                <w:tcPr>
                  <w:tcW w:w="3846" w:type="dxa"/>
                </w:tcPr>
                <w:p>
                  <w:pPr>
                    <w:numPr>
                      <w:ilvl w:val="0"/>
                      <w:numId w:val="6"/>
                    </w:numPr>
                    <w:tabs>
                      <w:tab w:val="left" w:pos="2610"/>
                    </w:tabs>
                    <w:contextualSpacing/>
                    <w:rPr>
                      <w:rFonts w:ascii="Times New Roman" w:hAnsi="Times New Roman" w:cs="Times New Roman"/>
                      <w:sz w:val="20"/>
                      <w:szCs w:val="20"/>
                    </w:rPr>
                  </w:pPr>
                  <w:bookmarkStart w:id="195" w:name="_Hlk116123389"/>
                  <w:r>
                    <w:rPr>
                      <w:rFonts w:ascii="Times New Roman" w:hAnsi="Times New Roman" w:cs="Times New Roman"/>
                      <w:sz w:val="20"/>
                      <w:szCs w:val="20"/>
                    </w:rPr>
                    <w:t>Elderly patients are not able to cope with opioid analgesics for pain relief</w:t>
                  </w:r>
                  <w:bookmarkEnd w:id="195"/>
                </w:p>
              </w:tc>
            </w:tr>
          </w:tbl>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81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20</w:t>
            </w:r>
          </w:p>
        </w:tc>
        <w:tc>
          <w:tcPr>
            <w:tcW w:w="78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26</w:t>
            </w:r>
          </w:p>
        </w:tc>
        <w:tc>
          <w:tcPr>
            <w:tcW w:w="70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62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1554"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1.57 </w:t>
            </w:r>
          </w:p>
        </w:tc>
        <w:tc>
          <w:tcPr>
            <w:tcW w:w="119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1" w:hRule="atLeast"/>
        </w:trPr>
        <w:tc>
          <w:tcPr>
            <w:tcW w:w="4041" w:type="dxa"/>
            <w:tcBorders>
              <w:top w:val="single" w:color="auto" w:sz="4" w:space="0"/>
              <w:left w:val="single" w:color="auto" w:sz="4" w:space="0"/>
              <w:bottom w:val="single" w:color="auto" w:sz="4" w:space="0"/>
              <w:right w:val="single" w:color="auto" w:sz="4" w:space="0"/>
            </w:tcBorders>
          </w:tcPr>
          <w:p>
            <w:pPr>
              <w:numPr>
                <w:ilvl w:val="0"/>
                <w:numId w:val="6"/>
              </w:numPr>
              <w:tabs>
                <w:tab w:val="left" w:pos="2610"/>
              </w:tabs>
              <w:autoSpaceDE w:val="0"/>
              <w:autoSpaceDN w:val="0"/>
              <w:adjustRightInd w:val="0"/>
              <w:spacing w:after="0" w:line="240" w:lineRule="auto"/>
              <w:rPr>
                <w:rFonts w:ascii="Times New Roman" w:hAnsi="Times New Roman" w:eastAsia="Times New Roman" w:cs="Times New Roman"/>
                <w:sz w:val="20"/>
                <w:szCs w:val="20"/>
              </w:rPr>
            </w:pPr>
            <w:bookmarkStart w:id="196" w:name="_Hlk116123577"/>
            <w:r>
              <w:rPr>
                <w:rFonts w:ascii="Times New Roman" w:hAnsi="Times New Roman" w:eastAsia="Times New Roman" w:cs="Times New Roman"/>
                <w:sz w:val="20"/>
                <w:szCs w:val="20"/>
              </w:rPr>
              <w:t xml:space="preserve">Before using an opioid analgesic, I will encourage the patients to wait a while longer till the next dose.  </w:t>
            </w:r>
          </w:p>
          <w:bookmarkEnd w:id="196"/>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81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17</w:t>
            </w:r>
          </w:p>
        </w:tc>
        <w:tc>
          <w:tcPr>
            <w:tcW w:w="78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23</w:t>
            </w:r>
          </w:p>
        </w:tc>
        <w:tc>
          <w:tcPr>
            <w:tcW w:w="70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w:t>
            </w:r>
          </w:p>
        </w:tc>
        <w:tc>
          <w:tcPr>
            <w:tcW w:w="62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w:t>
            </w:r>
          </w:p>
        </w:tc>
        <w:tc>
          <w:tcPr>
            <w:tcW w:w="1554"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1.55</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119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.050</w:t>
            </w:r>
          </w:p>
        </w:tc>
      </w:tr>
    </w:tbl>
    <w:p>
      <w:pPr>
        <w:tabs>
          <w:tab w:val="left" w:pos="2610"/>
        </w:tabs>
        <w:autoSpaceDE w:val="0"/>
        <w:autoSpaceDN w:val="0"/>
        <w:adjustRightInd w:val="0"/>
        <w:spacing w:after="0" w:line="480" w:lineRule="auto"/>
        <w:jc w:val="both"/>
        <w:rPr>
          <w:rFonts w:ascii="Times New Roman" w:hAnsi="Times New Roman" w:cs="Times New Roman"/>
          <w:sz w:val="24"/>
          <w:szCs w:val="24"/>
        </w:rPr>
      </w:pPr>
      <w:bookmarkStart w:id="197" w:name="_Hlk116134335"/>
      <w:r>
        <w:rPr>
          <w:rFonts w:ascii="Times New Roman" w:hAnsi="Times New Roman" w:cs="Times New Roman"/>
          <w:sz w:val="24"/>
          <w:szCs w:val="24"/>
        </w:rPr>
        <w:t xml:space="preserve">                </w:t>
      </w:r>
    </w:p>
    <w:p>
      <w:pPr>
        <w:tabs>
          <w:tab w:val="left" w:pos="2610"/>
        </w:tabs>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Table 8 shows that majority of the respondents had an acceptable attitude toward post-operative pain management. For instance, the</w:t>
      </w:r>
      <w:r>
        <w:rPr>
          <w:rStyle w:val="46"/>
          <w:rFonts w:ascii="Times New Roman" w:hAnsi="Times New Roman" w:cs="Times New Roman"/>
          <w:sz w:val="24"/>
          <w:szCs w:val="24"/>
        </w:rPr>
        <w:t xml:space="preserve"> respondents agreed to the statement that pain should be anticipated in all surgical procedures before the assessment and treatment of POP (M=2.75, SD=1.099).  </w:t>
      </w:r>
      <w:r>
        <w:rPr>
          <w:rFonts w:ascii="Times New Roman" w:hAnsi="Times New Roman" w:cs="Times New Roman"/>
          <w:sz w:val="24"/>
          <w:szCs w:val="24"/>
        </w:rPr>
        <w:t>Also, the respondents agreed with the statement that patients’ thoughts distracted from pain usually do not suffer from severe pain (M=2.55, SD=1.080). Additionally, the respondents agreed that using pain measurement instruments was integral in postoperative pain management. Nevertheless, the majority of the respondents disagreed with the statement that using an opioid analgesic would encourage the patients to wait a while longer till the next dose (M=1.57, SD= .500). Also then, the majority of the respondents disagreed with the statement that elderly patients are not able to cope with opioid analgesics for pain relief (M=1.55, SD =.050).  The researcher determined the nurse’s attitude toward post-operative pain assessment before the educational intervention. Five out of the nine-question items were stated negatively</w:t>
      </w:r>
      <w:r>
        <w:rPr>
          <w:rFonts w:ascii="Times New Roman" w:hAnsi="Times New Roman" w:cs="Times New Roman"/>
          <w:bCs/>
          <w:sz w:val="24"/>
          <w:szCs w:val="24"/>
        </w:rPr>
        <w:t xml:space="preserve"> (2</w:t>
      </w:r>
      <w:r>
        <w:rPr>
          <w:rFonts w:ascii="Times New Roman" w:hAnsi="Times New Roman" w:cs="Times New Roman"/>
          <w:sz w:val="24"/>
          <w:szCs w:val="24"/>
        </w:rPr>
        <w:t>, 3, 5, 7 &amp; 8) in that the respondent who disagreed with the statement reflected an acceptable attitude towards post-operative pain management. Therefore, their total scores were reversed which portrayed the right scores for the given responses. The findings are presented in Table 9.</w:t>
      </w:r>
      <w:bookmarkEnd w:id="197"/>
    </w:p>
    <w:p>
      <w:pPr>
        <w:pStyle w:val="9"/>
        <w:keepNext/>
        <w:rPr>
          <w:rFonts w:ascii="Times New Roman" w:hAnsi="Times New Roman" w:cs="Times New Roman"/>
          <w:sz w:val="24"/>
          <w:szCs w:val="24"/>
        </w:rPr>
      </w:pPr>
      <w:bookmarkStart w:id="198" w:name="_Toc134608201"/>
      <w:bookmarkStart w:id="199" w:name="_Toc120852255"/>
      <w:bookmarkStart w:id="200" w:name="_Toc134604185"/>
      <w:r>
        <w:rPr>
          <w:rFonts w:ascii="Times New Roman" w:hAnsi="Times New Roman" w:cs="Times New Roman"/>
          <w:sz w:val="24"/>
          <w:szCs w:val="24"/>
        </w:rPr>
        <w:t>Table 9: Attitude pretest towards postoperative pain assessment.</w:t>
      </w:r>
      <w:bookmarkEnd w:id="198"/>
    </w:p>
    <w:bookmarkEnd w:id="199"/>
    <w:bookmarkEnd w:id="200"/>
    <w:tbl>
      <w:tblPr>
        <w:tblStyle w:val="47"/>
        <w:tblW w:w="953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05"/>
        <w:gridCol w:w="630"/>
        <w:gridCol w:w="720"/>
        <w:gridCol w:w="630"/>
        <w:gridCol w:w="720"/>
        <w:gridCol w:w="990"/>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440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Variable </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SD</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D</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A</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SA</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Mean</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Std.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4405"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ind w:left="360"/>
              <w:rPr>
                <w:rFonts w:ascii="Times New Roman" w:hAnsi="Times New Roman" w:eastAsia="Times New Roman" w:cs="Times New Roman"/>
                <w:sz w:val="20"/>
                <w:szCs w:val="20"/>
              </w:rPr>
            </w:pPr>
          </w:p>
          <w:tbl>
            <w:tblPr>
              <w:tblStyle w:val="7"/>
              <w:tblW w:w="2681" w:type="dxa"/>
              <w:tblInd w:w="0" w:type="dxa"/>
              <w:tblLayout w:type="fixed"/>
              <w:tblCellMar>
                <w:top w:w="0" w:type="dxa"/>
                <w:left w:w="108" w:type="dxa"/>
                <w:bottom w:w="0" w:type="dxa"/>
                <w:right w:w="108" w:type="dxa"/>
              </w:tblCellMar>
            </w:tblPr>
            <w:tblGrid>
              <w:gridCol w:w="2681"/>
            </w:tblGrid>
            <w:tr>
              <w:tblPrEx>
                <w:tblCellMar>
                  <w:top w:w="0" w:type="dxa"/>
                  <w:left w:w="108" w:type="dxa"/>
                  <w:bottom w:w="0" w:type="dxa"/>
                  <w:right w:w="108" w:type="dxa"/>
                </w:tblCellMar>
              </w:tblPrEx>
              <w:trPr>
                <w:trHeight w:val="10" w:hRule="atLeast"/>
              </w:trPr>
              <w:tc>
                <w:tcPr>
                  <w:tcW w:w="2681" w:type="dxa"/>
                </w:tcPr>
                <w:p>
                  <w:pPr>
                    <w:pStyle w:val="24"/>
                    <w:numPr>
                      <w:ilvl w:val="0"/>
                      <w:numId w:val="7"/>
                    </w:numPr>
                    <w:tabs>
                      <w:tab w:val="left" w:pos="2610"/>
                    </w:tabs>
                    <w:rPr>
                      <w:sz w:val="20"/>
                      <w:szCs w:val="20"/>
                    </w:rPr>
                  </w:pPr>
                  <w:bookmarkStart w:id="201" w:name="_Hlk116124871"/>
                  <w:r>
                    <w:rPr>
                      <w:sz w:val="20"/>
                      <w:szCs w:val="20"/>
                    </w:rPr>
                    <w:t>I at all times agree with the patient’s self-report of pain</w:t>
                  </w:r>
                  <w:bookmarkEnd w:id="201"/>
                </w:p>
              </w:tc>
            </w:tr>
          </w:tbl>
          <w:p>
            <w:pPr>
              <w:tabs>
                <w:tab w:val="left" w:pos="2610"/>
              </w:tabs>
              <w:autoSpaceDE w:val="0"/>
              <w:autoSpaceDN w:val="0"/>
              <w:adjustRightInd w:val="0"/>
              <w:spacing w:after="0" w:line="240" w:lineRule="auto"/>
              <w:rPr>
                <w:rFonts w:ascii="Times New Roman" w:hAnsi="Times New Roman" w:eastAsia="MS Mincho" w:cs="Times New Roman"/>
                <w:sz w:val="20"/>
                <w:szCs w:val="20"/>
                <w:lang w:eastAsia="ja-JP"/>
              </w:rPr>
            </w:pP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33</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13</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2.82 </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p>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.965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trPr>
        <w:tc>
          <w:tcPr>
            <w:tcW w:w="4405" w:type="dxa"/>
            <w:tcBorders>
              <w:top w:val="single" w:color="auto" w:sz="4" w:space="0"/>
              <w:left w:val="single" w:color="auto" w:sz="4" w:space="0"/>
              <w:bottom w:val="single" w:color="auto" w:sz="4" w:space="0"/>
              <w:right w:val="single" w:color="auto" w:sz="4" w:space="0"/>
            </w:tcBorders>
          </w:tcPr>
          <w:p>
            <w:pPr>
              <w:pStyle w:val="24"/>
              <w:numPr>
                <w:ilvl w:val="0"/>
                <w:numId w:val="7"/>
              </w:numPr>
              <w:tabs>
                <w:tab w:val="left" w:pos="2610"/>
              </w:tabs>
              <w:autoSpaceDE w:val="0"/>
              <w:autoSpaceDN w:val="0"/>
              <w:adjustRightInd w:val="0"/>
              <w:rPr>
                <w:sz w:val="20"/>
                <w:szCs w:val="20"/>
              </w:rPr>
            </w:pPr>
            <w:bookmarkStart w:id="202" w:name="_Hlk116125150"/>
            <w:r>
              <w:rPr>
                <w:rFonts w:eastAsia="Times New Roman"/>
                <w:sz w:val="20"/>
                <w:szCs w:val="20"/>
              </w:rPr>
              <w:t>Lack of expression in the postoperative patient means lack of pain</w:t>
            </w:r>
            <w:bookmarkEnd w:id="202"/>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14</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31</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1.63 </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.486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trPr>
        <w:tc>
          <w:tcPr>
            <w:tcW w:w="4405" w:type="dxa"/>
            <w:tcBorders>
              <w:top w:val="single" w:color="auto" w:sz="4" w:space="0"/>
              <w:left w:val="single" w:color="auto" w:sz="4" w:space="0"/>
              <w:bottom w:val="single" w:color="auto" w:sz="4" w:space="0"/>
              <w:right w:val="single" w:color="auto" w:sz="4" w:space="0"/>
            </w:tcBorders>
          </w:tcPr>
          <w:tbl>
            <w:tblPr>
              <w:tblStyle w:val="7"/>
              <w:tblW w:w="3239" w:type="dxa"/>
              <w:tblInd w:w="0" w:type="dxa"/>
              <w:tblLayout w:type="fixed"/>
              <w:tblCellMar>
                <w:top w:w="0" w:type="dxa"/>
                <w:left w:w="108" w:type="dxa"/>
                <w:bottom w:w="0" w:type="dxa"/>
                <w:right w:w="108" w:type="dxa"/>
              </w:tblCellMar>
            </w:tblPr>
            <w:tblGrid>
              <w:gridCol w:w="3239"/>
            </w:tblGrid>
            <w:tr>
              <w:trPr>
                <w:trHeight w:val="288" w:hRule="atLeast"/>
              </w:trPr>
              <w:tc>
                <w:tcPr>
                  <w:tcW w:w="3239" w:type="dxa"/>
                </w:tcPr>
                <w:p>
                  <w:pPr>
                    <w:pStyle w:val="24"/>
                    <w:numPr>
                      <w:ilvl w:val="0"/>
                      <w:numId w:val="7"/>
                    </w:numPr>
                    <w:tabs>
                      <w:tab w:val="left" w:pos="2610"/>
                    </w:tabs>
                    <w:autoSpaceDE w:val="0"/>
                    <w:autoSpaceDN w:val="0"/>
                    <w:adjustRightInd w:val="0"/>
                    <w:ind w:right="60"/>
                    <w:rPr>
                      <w:sz w:val="20"/>
                      <w:szCs w:val="20"/>
                    </w:rPr>
                  </w:pPr>
                  <w:bookmarkStart w:id="203" w:name="_Hlk116125404"/>
                  <w:r>
                    <w:rPr>
                      <w:sz w:val="20"/>
                      <w:szCs w:val="20"/>
                    </w:rPr>
                    <w:t>Patients suffering from POP always complain to the primary nurse</w:t>
                  </w:r>
                  <w:bookmarkEnd w:id="203"/>
                </w:p>
              </w:tc>
            </w:tr>
          </w:tbl>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15</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17</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1.45 </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0.502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4405" w:type="dxa"/>
            <w:tcBorders>
              <w:top w:val="single" w:color="auto" w:sz="4" w:space="0"/>
              <w:left w:val="single" w:color="auto" w:sz="4" w:space="0"/>
              <w:bottom w:val="single" w:color="auto" w:sz="4" w:space="0"/>
              <w:right w:val="single" w:color="auto" w:sz="4" w:space="0"/>
            </w:tcBorders>
          </w:tcPr>
          <w:p>
            <w:pPr>
              <w:pStyle w:val="24"/>
              <w:numPr>
                <w:ilvl w:val="0"/>
                <w:numId w:val="7"/>
              </w:numPr>
              <w:tabs>
                <w:tab w:val="left" w:pos="2610"/>
              </w:tabs>
              <w:rPr>
                <w:sz w:val="20"/>
                <w:szCs w:val="20"/>
              </w:rPr>
            </w:pPr>
            <w:bookmarkStart w:id="204" w:name="_Hlk116125657"/>
            <w:r>
              <w:rPr>
                <w:rFonts w:eastAsia="Times New Roman"/>
                <w:sz w:val="20"/>
                <w:szCs w:val="20"/>
              </w:rPr>
              <w:t>Your visual assessment of the patient reporting pain influences your response and treatment of POP.</w:t>
            </w:r>
            <w:bookmarkEnd w:id="204"/>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15</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17</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2.73 </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1.039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4405" w:type="dxa"/>
            <w:tcBorders>
              <w:top w:val="single" w:color="auto" w:sz="4" w:space="0"/>
              <w:left w:val="single" w:color="auto" w:sz="4" w:space="0"/>
              <w:bottom w:val="single" w:color="auto" w:sz="4" w:space="0"/>
              <w:right w:val="single" w:color="auto" w:sz="4" w:space="0"/>
            </w:tcBorders>
          </w:tcPr>
          <w:p>
            <w:pPr>
              <w:pStyle w:val="24"/>
              <w:numPr>
                <w:ilvl w:val="0"/>
                <w:numId w:val="7"/>
              </w:numPr>
              <w:tabs>
                <w:tab w:val="left" w:pos="2610"/>
              </w:tabs>
              <w:rPr>
                <w:sz w:val="20"/>
                <w:szCs w:val="20"/>
              </w:rPr>
            </w:pPr>
            <w:bookmarkStart w:id="205" w:name="_Hlk116126207"/>
            <w:r>
              <w:rPr>
                <w:rFonts w:eastAsia="Times New Roman"/>
                <w:sz w:val="20"/>
                <w:szCs w:val="20"/>
              </w:rPr>
              <w:t>Patients complaining of pain is not my priority when I am busy</w:t>
            </w:r>
            <w:bookmarkEnd w:id="205"/>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48</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0</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1.20 </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.403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trPr>
        <w:tc>
          <w:tcPr>
            <w:tcW w:w="4405" w:type="dxa"/>
            <w:tcBorders>
              <w:top w:val="single" w:color="auto" w:sz="4" w:space="0"/>
              <w:left w:val="single" w:color="auto" w:sz="4" w:space="0"/>
              <w:bottom w:val="single" w:color="auto" w:sz="4" w:space="0"/>
              <w:right w:val="single" w:color="auto" w:sz="4" w:space="0"/>
            </w:tcBorders>
          </w:tcPr>
          <w:p>
            <w:pPr>
              <w:pStyle w:val="24"/>
              <w:numPr>
                <w:ilvl w:val="0"/>
                <w:numId w:val="7"/>
              </w:numPr>
              <w:tabs>
                <w:tab w:val="left" w:pos="2610"/>
              </w:tabs>
              <w:autoSpaceDE w:val="0"/>
              <w:autoSpaceDN w:val="0"/>
              <w:adjustRightInd w:val="0"/>
              <w:rPr>
                <w:sz w:val="20"/>
                <w:szCs w:val="20"/>
                <w:shd w:val="clear" w:color="auto" w:fill="FFFFFF"/>
              </w:rPr>
            </w:pPr>
            <w:bookmarkStart w:id="206" w:name="_Hlk116126438"/>
            <w:r>
              <w:rPr>
                <w:rFonts w:eastAsia="Times New Roman"/>
                <w:sz w:val="20"/>
                <w:szCs w:val="20"/>
                <w:shd w:val="clear" w:color="auto" w:fill="FFFFFF"/>
              </w:rPr>
              <w:t>The type of surgery done affects your response to pain management.</w:t>
            </w:r>
          </w:p>
          <w:bookmarkEnd w:id="206"/>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15</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16</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2.47 </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trPr>
        <w:tc>
          <w:tcPr>
            <w:tcW w:w="4405" w:type="dxa"/>
            <w:tcBorders>
              <w:top w:val="single" w:color="auto" w:sz="4" w:space="0"/>
              <w:left w:val="single" w:color="auto" w:sz="4" w:space="0"/>
              <w:bottom w:val="single" w:color="auto" w:sz="4" w:space="0"/>
              <w:right w:val="single" w:color="auto" w:sz="4" w:space="0"/>
            </w:tcBorders>
          </w:tcPr>
          <w:p>
            <w:pPr>
              <w:pStyle w:val="24"/>
              <w:numPr>
                <w:ilvl w:val="0"/>
                <w:numId w:val="7"/>
              </w:numPr>
              <w:tabs>
                <w:tab w:val="left" w:pos="2610"/>
              </w:tabs>
              <w:autoSpaceDE w:val="0"/>
              <w:autoSpaceDN w:val="0"/>
              <w:adjustRightInd w:val="0"/>
              <w:ind w:right="60"/>
              <w:rPr>
                <w:rFonts w:eastAsia="Times New Roman"/>
                <w:sz w:val="20"/>
                <w:szCs w:val="20"/>
              </w:rPr>
            </w:pPr>
            <w:bookmarkStart w:id="207" w:name="_Hlk116126649"/>
            <w:r>
              <w:rPr>
                <w:rFonts w:eastAsia="Times New Roman"/>
                <w:sz w:val="20"/>
                <w:szCs w:val="20"/>
              </w:rPr>
              <w:t xml:space="preserve">Women exaggerate post-operative pain during assessment. </w:t>
            </w:r>
          </w:p>
          <w:bookmarkEnd w:id="207"/>
          <w:p>
            <w:pPr>
              <w:tabs>
                <w:tab w:val="left" w:pos="2610"/>
              </w:tabs>
              <w:autoSpaceDE w:val="0"/>
              <w:autoSpaceDN w:val="0"/>
              <w:adjustRightInd w:val="0"/>
              <w:spacing w:after="0" w:line="240" w:lineRule="auto"/>
              <w:ind w:left="450" w:right="60"/>
              <w:contextualSpacing/>
              <w:rPr>
                <w:rFonts w:ascii="Times New Roman" w:hAnsi="Times New Roman" w:eastAsia="Times New Roman" w:cs="Times New Roman"/>
                <w:sz w:val="20"/>
                <w:szCs w:val="20"/>
                <w:shd w:val="clear" w:color="auto" w:fill="FFFFFF"/>
              </w:rPr>
            </w:pP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24</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21</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1.75 </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.437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trPr>
        <w:tc>
          <w:tcPr>
            <w:tcW w:w="4405" w:type="dxa"/>
            <w:tcBorders>
              <w:top w:val="single" w:color="auto" w:sz="4" w:space="0"/>
              <w:left w:val="single" w:color="auto" w:sz="4" w:space="0"/>
              <w:bottom w:val="single" w:color="auto" w:sz="4" w:space="0"/>
              <w:right w:val="single" w:color="auto" w:sz="4" w:space="0"/>
            </w:tcBorders>
          </w:tcPr>
          <w:p>
            <w:pPr>
              <w:pStyle w:val="24"/>
              <w:numPr>
                <w:ilvl w:val="0"/>
                <w:numId w:val="7"/>
              </w:numPr>
              <w:tabs>
                <w:tab w:val="left" w:pos="2610"/>
              </w:tabs>
              <w:autoSpaceDE w:val="0"/>
              <w:autoSpaceDN w:val="0"/>
              <w:adjustRightInd w:val="0"/>
              <w:spacing w:line="320" w:lineRule="atLeast"/>
              <w:ind w:right="60"/>
              <w:rPr>
                <w:rFonts w:eastAsia="Times New Roman"/>
                <w:sz w:val="20"/>
                <w:szCs w:val="20"/>
              </w:rPr>
            </w:pPr>
            <w:bookmarkStart w:id="208" w:name="_Hlk125615620"/>
            <w:r>
              <w:rPr>
                <w:rFonts w:eastAsia="Times New Roman"/>
                <w:sz w:val="20"/>
                <w:szCs w:val="20"/>
              </w:rPr>
              <w:t>Morphine is a very strong drug. Postoperative patients are not expected to fill pain when receiving it</w:t>
            </w:r>
            <w:bookmarkEnd w:id="208"/>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31</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11</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1.70 </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.462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trPr>
        <w:tc>
          <w:tcPr>
            <w:tcW w:w="4405" w:type="dxa"/>
            <w:tcBorders>
              <w:top w:val="single" w:color="auto" w:sz="4" w:space="0"/>
              <w:left w:val="single" w:color="auto" w:sz="4" w:space="0"/>
              <w:bottom w:val="single" w:color="auto" w:sz="4" w:space="0"/>
              <w:right w:val="single" w:color="auto" w:sz="4" w:space="0"/>
            </w:tcBorders>
          </w:tcPr>
          <w:p>
            <w:pPr>
              <w:pStyle w:val="24"/>
              <w:numPr>
                <w:ilvl w:val="0"/>
                <w:numId w:val="7"/>
              </w:numPr>
              <w:tabs>
                <w:tab w:val="left" w:pos="2610"/>
              </w:tabs>
              <w:autoSpaceDE w:val="0"/>
              <w:autoSpaceDN w:val="0"/>
              <w:adjustRightInd w:val="0"/>
              <w:ind w:right="60"/>
              <w:rPr>
                <w:rFonts w:eastAsia="Times New Roman"/>
                <w:sz w:val="20"/>
                <w:szCs w:val="20"/>
              </w:rPr>
            </w:pPr>
            <w:bookmarkStart w:id="209" w:name="_Hlk125617467"/>
            <w:r>
              <w:rPr>
                <w:rFonts w:eastAsia="Times New Roman"/>
                <w:sz w:val="20"/>
                <w:szCs w:val="20"/>
              </w:rPr>
              <w:t>Nurses should rely exclusively on patients’ assessment to determine pain intensity</w:t>
            </w:r>
            <w:bookmarkEnd w:id="209"/>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15</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11</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15</w:t>
            </w:r>
          </w:p>
        </w:tc>
        <w:tc>
          <w:tcPr>
            <w:tcW w:w="990" w:type="dxa"/>
            <w:tcBorders>
              <w:top w:val="single" w:color="auto" w:sz="4" w:space="0"/>
              <w:left w:val="single" w:color="auto" w:sz="4" w:space="0"/>
              <w:bottom w:val="single" w:color="auto" w:sz="4" w:space="0"/>
              <w:right w:val="single" w:color="auto" w:sz="4" w:space="0"/>
            </w:tcBorders>
          </w:tcPr>
          <w:p>
            <w:pPr>
              <w:pStyle w:val="24"/>
              <w:numPr>
                <w:ilvl w:val="1"/>
                <w:numId w:val="8"/>
              </w:numPr>
              <w:tabs>
                <w:tab w:val="left" w:pos="2610"/>
              </w:tabs>
              <w:autoSpaceDE w:val="0"/>
              <w:autoSpaceDN w:val="0"/>
              <w:adjustRightInd w:val="0"/>
              <w:rPr>
                <w:sz w:val="20"/>
                <w:szCs w:val="20"/>
              </w:rPr>
            </w:pP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1.125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trPr>
        <w:tc>
          <w:tcPr>
            <w:tcW w:w="4405" w:type="dxa"/>
            <w:tcBorders>
              <w:top w:val="single" w:color="auto" w:sz="4" w:space="0"/>
              <w:left w:val="single" w:color="auto" w:sz="4" w:space="0"/>
              <w:bottom w:val="single" w:color="auto" w:sz="4" w:space="0"/>
              <w:right w:val="single" w:color="auto" w:sz="4" w:space="0"/>
            </w:tcBorders>
          </w:tcPr>
          <w:p>
            <w:pPr>
              <w:pStyle w:val="24"/>
              <w:numPr>
                <w:ilvl w:val="0"/>
                <w:numId w:val="7"/>
              </w:numPr>
              <w:tabs>
                <w:tab w:val="left" w:pos="2610"/>
              </w:tabs>
              <w:autoSpaceDE w:val="0"/>
              <w:autoSpaceDN w:val="0"/>
              <w:adjustRightInd w:val="0"/>
              <w:ind w:right="60"/>
              <w:rPr>
                <w:rFonts w:eastAsia="Times New Roman"/>
                <w:sz w:val="20"/>
                <w:szCs w:val="20"/>
              </w:rPr>
            </w:pPr>
            <w:r>
              <w:rPr>
                <w:rFonts w:eastAsia="Times New Roman"/>
                <w:sz w:val="20"/>
                <w:szCs w:val="20"/>
              </w:rPr>
              <w:t>The spiritual beliefs of a patient may determine how they respond to pain7</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29</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rPr>
                <w:rFonts w:eastAsia="Times New Roman" w:cs="Times New Roman"/>
                <w:sz w:val="20"/>
                <w:szCs w:val="20"/>
              </w:rPr>
            </w:pPr>
            <w:r>
              <w:rPr>
                <w:rFonts w:eastAsia="Times New Roman" w:cs="Times New Roman"/>
                <w:sz w:val="20"/>
                <w:szCs w:val="20"/>
              </w:rPr>
              <w:t>3.17</w:t>
            </w:r>
          </w:p>
        </w:tc>
        <w:tc>
          <w:tcPr>
            <w:tcW w:w="144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1.011</w:t>
            </w:r>
          </w:p>
        </w:tc>
      </w:tr>
    </w:tbl>
    <w:p>
      <w:pPr>
        <w:tabs>
          <w:tab w:val="left" w:pos="2610"/>
        </w:tabs>
        <w:autoSpaceDE w:val="0"/>
        <w:autoSpaceDN w:val="0"/>
        <w:adjustRightInd w:val="0"/>
        <w:spacing w:line="480" w:lineRule="auto"/>
        <w:ind w:right="60" w:firstLine="720"/>
        <w:contextualSpacing/>
        <w:jc w:val="both"/>
        <w:rPr>
          <w:rFonts w:ascii="Times New Roman" w:hAnsi="Times New Roman" w:cs="Times New Roman"/>
          <w:sz w:val="24"/>
          <w:szCs w:val="24"/>
        </w:rPr>
      </w:pPr>
      <w:bookmarkStart w:id="210" w:name="_Hlk116129848"/>
    </w:p>
    <w:p>
      <w:pPr>
        <w:tabs>
          <w:tab w:val="left" w:pos="2610"/>
        </w:tabs>
        <w:autoSpaceDE w:val="0"/>
        <w:autoSpaceDN w:val="0"/>
        <w:adjustRightInd w:val="0"/>
        <w:spacing w:line="480" w:lineRule="auto"/>
        <w:ind w:right="60"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Table 9 shows that the majority of the respondents had an acceptable attitude toward post-operative pain management. For example, the majority of the respondents agreed to the statement that at all times agreed with the patient’s self-report of pain (M= 2.82, SD= .965). Similarly, the majority of the respondents strongly disagreed with the statement that patients who complained of pain were not their priority when their busy (M= 1.20, SD=0.403). Additionally, the majority of the respondents disagreed with the statement that Morphine was a very strong drug where post-operative patients are not expected to fill pain when receiving it (M=1.70, SD=.462). As well, the respondents agreed with the statement that nurses should rely exclusively on patients’ assessment to determine pain intensity (M=2.73, SD= 1.039). Likewise, the respondents disagreed with the statement that a lack of expression in the postoperative patient meant a lack of pain (M=1.63, SD=.486). Furthermore, the respondents disagreed with the statement that the </w:t>
      </w:r>
      <w:r>
        <w:rPr>
          <w:rFonts w:ascii="Times New Roman" w:hAnsi="Times New Roman" w:cs="Times New Roman"/>
          <w:sz w:val="24"/>
          <w:szCs w:val="24"/>
          <w:shd w:val="clear" w:color="auto" w:fill="FFFFFF"/>
        </w:rPr>
        <w:t>type of surgery done affects the response to pain management</w:t>
      </w:r>
      <w:r>
        <w:rPr>
          <w:rFonts w:ascii="Times New Roman" w:hAnsi="Times New Roman" w:cs="Times New Roman"/>
          <w:sz w:val="24"/>
          <w:szCs w:val="24"/>
        </w:rPr>
        <w:t xml:space="preserve"> (M=2.47, SD= 1.200).</w:t>
      </w:r>
      <w:r>
        <w:rPr>
          <w:rFonts w:ascii="Times New Roman" w:hAnsi="Times New Roman" w:cs="Times New Roman"/>
          <w:sz w:val="24"/>
          <w:szCs w:val="24"/>
          <w:shd w:val="clear" w:color="auto" w:fill="FFFFFF"/>
        </w:rPr>
        <w:t xml:space="preserve"> </w:t>
      </w:r>
    </w:p>
    <w:p>
      <w:pPr>
        <w:tabs>
          <w:tab w:val="left" w:pos="2610"/>
        </w:tabs>
        <w:autoSpaceDE w:val="0"/>
        <w:autoSpaceDN w:val="0"/>
        <w:adjustRightInd w:val="0"/>
        <w:spacing w:line="480" w:lineRule="auto"/>
        <w:ind w:right="60"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However, some respondents displayed an unaccepted attitude toward post-operative pain management. For example, the respondents agreed with the statement that the visual assessment of the patient reporting pain influences the response and treatment of POP (M= 2.73, SD= 1.039). Correspondingly, the respondents agreed with the statement that Women exaggerate post-operative pain during assessment (M=1.75, SD=.437).  The pretest attitude totals of the respondents were determined, presented in tables allocated in the appendix, and categorized under two levels (below 79% was an unacceptable attitude, and above 80% was an acceptable attitude) respectively. During the pre-attitude test for postoperative pain management, none of the respondents scored above 79%. </w:t>
      </w:r>
    </w:p>
    <w:bookmarkEnd w:id="210"/>
    <w:p>
      <w:pPr>
        <w:pStyle w:val="3"/>
        <w:spacing w:line="480" w:lineRule="auto"/>
        <w:rPr>
          <w:rFonts w:ascii="Times New Roman" w:hAnsi="Times New Roman" w:cs="Times New Roman"/>
          <w:b w:val="0"/>
          <w:sz w:val="24"/>
          <w:szCs w:val="24"/>
        </w:rPr>
      </w:pPr>
      <w:bookmarkStart w:id="211" w:name="_Toc142753428"/>
      <w:bookmarkStart w:id="212" w:name="_Hlk143198863"/>
      <w:r>
        <w:rPr>
          <w:rFonts w:ascii="Times New Roman" w:hAnsi="Times New Roman" w:cs="Times New Roman"/>
          <w:sz w:val="24"/>
          <w:szCs w:val="24"/>
        </w:rPr>
        <w:t>The Effect of Integrating the Pain Assessment Scale on the Nurse’s Attitude towards Post Operative Pain Management.</w:t>
      </w:r>
      <w:bookmarkEnd w:id="211"/>
    </w:p>
    <w:bookmarkEnd w:id="212"/>
    <w:p>
      <w:pPr>
        <w:tabs>
          <w:tab w:val="left" w:pos="2610"/>
        </w:tabs>
        <w:autoSpaceDE w:val="0"/>
        <w:autoSpaceDN w:val="0"/>
        <w:adjustRightInd w:val="0"/>
        <w:spacing w:line="480" w:lineRule="auto"/>
        <w:ind w:firstLine="720"/>
        <w:jc w:val="both"/>
        <w:rPr>
          <w:rFonts w:ascii="Times New Roman" w:hAnsi="Times New Roman" w:cs="Times New Roman"/>
          <w:bCs/>
          <w:sz w:val="24"/>
          <w:szCs w:val="24"/>
        </w:rPr>
      </w:pPr>
      <w:r>
        <w:rPr>
          <w:rFonts w:ascii="Times New Roman" w:hAnsi="Times New Roman" w:cs="Times New Roman"/>
          <w:sz w:val="24"/>
          <w:szCs w:val="24"/>
        </w:rPr>
        <w:t>After the application of the educational intervention of integrating the pain assessment scale to nurses’ attitudes, the researcher carried out a posttest to determine its effect on their attitude towards post-operative pain management. T</w:t>
      </w:r>
      <w:r>
        <w:rPr>
          <w:rFonts w:ascii="Times New Roman" w:hAnsi="Times New Roman" w:cs="Times New Roman"/>
          <w:bCs/>
          <w:sz w:val="24"/>
          <w:szCs w:val="24"/>
        </w:rPr>
        <w:t>he findings are presented in Table 10.</w:t>
      </w:r>
    </w:p>
    <w:p>
      <w:pPr>
        <w:pStyle w:val="9"/>
        <w:keepNext/>
        <w:rPr>
          <w:rFonts w:ascii="Times New Roman" w:hAnsi="Times New Roman" w:cs="Times New Roman"/>
          <w:sz w:val="24"/>
          <w:szCs w:val="24"/>
        </w:rPr>
      </w:pPr>
      <w:bookmarkStart w:id="213" w:name="_Toc134608202"/>
      <w:bookmarkStart w:id="214" w:name="_Toc134604186"/>
      <w:bookmarkStart w:id="215" w:name="_Toc120852258"/>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t xml:space="preserve"> Posttest attitude towards post-operative pain management.</w:t>
      </w:r>
      <w:bookmarkEnd w:id="213"/>
    </w:p>
    <w:bookmarkEnd w:id="214"/>
    <w:bookmarkEnd w:id="215"/>
    <w:tbl>
      <w:tblPr>
        <w:tblStyle w:val="47"/>
        <w:tblW w:w="99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58"/>
        <w:gridCol w:w="720"/>
        <w:gridCol w:w="720"/>
        <w:gridCol w:w="630"/>
        <w:gridCol w:w="720"/>
        <w:gridCol w:w="990"/>
        <w:gridCol w:w="1092"/>
        <w:gridCol w:w="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656" w:hRule="atLeast"/>
        </w:trPr>
        <w:tc>
          <w:tcPr>
            <w:tcW w:w="5058"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Variable </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SD</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D</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A</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SA</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Mean </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827" w:hRule="atLeast"/>
        </w:trPr>
        <w:tc>
          <w:tcPr>
            <w:tcW w:w="5058"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bl>
            <w:tblPr>
              <w:tblStyle w:val="7"/>
              <w:tblW w:w="3960" w:type="dxa"/>
              <w:tblInd w:w="0" w:type="dxa"/>
              <w:tblLayout w:type="fixed"/>
              <w:tblCellMar>
                <w:top w:w="0" w:type="dxa"/>
                <w:left w:w="108" w:type="dxa"/>
                <w:bottom w:w="0" w:type="dxa"/>
                <w:right w:w="108" w:type="dxa"/>
              </w:tblCellMar>
            </w:tblPr>
            <w:tblGrid>
              <w:gridCol w:w="3960"/>
            </w:tblGrid>
            <w:tr>
              <w:trPr>
                <w:trHeight w:val="6" w:hRule="atLeast"/>
              </w:trPr>
              <w:tc>
                <w:tcPr>
                  <w:tcW w:w="3960" w:type="dxa"/>
                </w:tcPr>
                <w:p>
                  <w:pPr>
                    <w:numPr>
                      <w:ilvl w:val="0"/>
                      <w:numId w:val="9"/>
                    </w:numPr>
                    <w:tabs>
                      <w:tab w:val="left" w:pos="2610"/>
                    </w:tabs>
                    <w:ind w:hanging="648"/>
                    <w:contextualSpacing/>
                    <w:rPr>
                      <w:rFonts w:ascii="Times New Roman" w:hAnsi="Times New Roman" w:cs="Times New Roman"/>
                      <w:sz w:val="20"/>
                      <w:szCs w:val="20"/>
                    </w:rPr>
                  </w:pPr>
                  <w:r>
                    <w:rPr>
                      <w:rFonts w:ascii="Times New Roman" w:hAnsi="Times New Roman" w:cs="Times New Roman"/>
                      <w:sz w:val="20"/>
                      <w:szCs w:val="20"/>
                    </w:rPr>
                    <w:t>I at all times agree with the patient’s self-report of pain</w:t>
                  </w:r>
                </w:p>
              </w:tc>
            </w:tr>
          </w:tbl>
          <w:p>
            <w:pPr>
              <w:tabs>
                <w:tab w:val="left" w:pos="2610"/>
              </w:tabs>
              <w:autoSpaceDE w:val="0"/>
              <w:autoSpaceDN w:val="0"/>
              <w:adjustRightInd w:val="0"/>
              <w:spacing w:after="0" w:line="240" w:lineRule="auto"/>
              <w:rPr>
                <w:rFonts w:ascii="Times New Roman" w:hAnsi="Times New Roman" w:eastAsia="MS Mincho" w:cs="Times New Roman"/>
                <w:sz w:val="20"/>
                <w:szCs w:val="20"/>
                <w:lang w:eastAsia="ja-JP"/>
              </w:rPr>
            </w:pP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27</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29</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3.25 </w:t>
            </w: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.773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489" w:hRule="atLeast"/>
        </w:trPr>
        <w:tc>
          <w:tcPr>
            <w:tcW w:w="5058" w:type="dxa"/>
            <w:tcBorders>
              <w:top w:val="single" w:color="auto" w:sz="4" w:space="0"/>
              <w:left w:val="single" w:color="auto" w:sz="4" w:space="0"/>
              <w:bottom w:val="single" w:color="auto" w:sz="4" w:space="0"/>
              <w:right w:val="single" w:color="auto" w:sz="4" w:space="0"/>
            </w:tcBorders>
          </w:tcPr>
          <w:p>
            <w:pPr>
              <w:numPr>
                <w:ilvl w:val="0"/>
                <w:numId w:val="9"/>
              </w:numPr>
              <w:tabs>
                <w:tab w:val="left" w:pos="2610"/>
              </w:tabs>
              <w:autoSpaceDE w:val="0"/>
              <w:autoSpaceDN w:val="0"/>
              <w:adjustRightInd w:val="0"/>
              <w:spacing w:after="0" w:line="240" w:lineRule="auto"/>
              <w:contextualSpacing/>
              <w:rPr>
                <w:rFonts w:ascii="Times New Roman" w:hAnsi="Times New Roman" w:eastAsia="MS Mincho" w:cs="Times New Roman"/>
                <w:sz w:val="20"/>
                <w:szCs w:val="20"/>
                <w:lang w:eastAsia="ja-JP"/>
              </w:rPr>
            </w:pPr>
            <w:r>
              <w:rPr>
                <w:rFonts w:ascii="Times New Roman" w:hAnsi="Times New Roman" w:eastAsia="Times New Roman" w:cs="Times New Roman"/>
                <w:sz w:val="20"/>
                <w:szCs w:val="20"/>
              </w:rPr>
              <w:t>Lack of expression in the postoperative patient means a lack of pain</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17</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20</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16</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1.62 </w:t>
            </w: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trPr>
        <w:tc>
          <w:tcPr>
            <w:tcW w:w="5058" w:type="dxa"/>
            <w:tcBorders>
              <w:top w:val="single" w:color="auto" w:sz="4" w:space="0"/>
              <w:left w:val="single" w:color="auto" w:sz="4" w:space="0"/>
              <w:bottom w:val="single" w:color="auto" w:sz="4" w:space="0"/>
              <w:right w:val="single" w:color="auto" w:sz="4" w:space="0"/>
            </w:tcBorders>
          </w:tcPr>
          <w:p>
            <w:pPr>
              <w:numPr>
                <w:ilvl w:val="0"/>
                <w:numId w:val="9"/>
              </w:numPr>
              <w:tabs>
                <w:tab w:val="left" w:pos="2610"/>
              </w:tabs>
              <w:autoSpaceDE w:val="0"/>
              <w:autoSpaceDN w:val="0"/>
              <w:adjustRightInd w:val="0"/>
              <w:spacing w:after="0" w:line="240" w:lineRule="auto"/>
              <w:contextualSpacing/>
              <w:rPr>
                <w:rFonts w:ascii="Times New Roman" w:hAnsi="Times New Roman" w:eastAsia="Times New Roman" w:cs="Times New Roman"/>
                <w:sz w:val="20"/>
                <w:szCs w:val="20"/>
              </w:rPr>
            </w:pPr>
            <w:r>
              <w:rPr>
                <w:rFonts w:ascii="Times New Roman" w:hAnsi="Times New Roman" w:eastAsia="MS Mincho" w:cs="Times New Roman"/>
                <w:sz w:val="20"/>
                <w:szCs w:val="20"/>
                <w:lang w:eastAsia="ja-JP"/>
              </w:rPr>
              <w:t>Morphine is a very strong drug. Post-operative patients would be contented with just one dose.</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12</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26</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18</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1.63</w:t>
            </w:r>
          </w:p>
        </w:tc>
        <w:tc>
          <w:tcPr>
            <w:tcW w:w="1102" w:type="dxa"/>
            <w:gridSpan w:val="2"/>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 .486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889" w:hRule="atLeast"/>
        </w:trPr>
        <w:tc>
          <w:tcPr>
            <w:tcW w:w="5058" w:type="dxa"/>
            <w:tcBorders>
              <w:top w:val="single" w:color="auto" w:sz="4" w:space="0"/>
              <w:left w:val="single" w:color="auto" w:sz="4" w:space="0"/>
              <w:bottom w:val="single" w:color="auto" w:sz="4" w:space="0"/>
              <w:right w:val="single" w:color="auto" w:sz="4" w:space="0"/>
            </w:tcBorders>
          </w:tcPr>
          <w:tbl>
            <w:tblPr>
              <w:tblStyle w:val="7"/>
              <w:tblW w:w="4050" w:type="dxa"/>
              <w:tblInd w:w="0" w:type="dxa"/>
              <w:tblLayout w:type="fixed"/>
              <w:tblCellMar>
                <w:top w:w="0" w:type="dxa"/>
                <w:left w:w="108" w:type="dxa"/>
                <w:bottom w:w="0" w:type="dxa"/>
                <w:right w:w="108" w:type="dxa"/>
              </w:tblCellMar>
            </w:tblPr>
            <w:tblGrid>
              <w:gridCol w:w="4050"/>
            </w:tblGrid>
            <w:tr>
              <w:tblPrEx>
                <w:tblCellMar>
                  <w:top w:w="0" w:type="dxa"/>
                  <w:left w:w="108" w:type="dxa"/>
                  <w:bottom w:w="0" w:type="dxa"/>
                  <w:right w:w="108" w:type="dxa"/>
                </w:tblCellMar>
              </w:tblPrEx>
              <w:trPr>
                <w:trHeight w:val="290" w:hRule="atLeast"/>
              </w:trPr>
              <w:tc>
                <w:tcPr>
                  <w:tcW w:w="4050" w:type="dxa"/>
                </w:tcPr>
                <w:p>
                  <w:pPr>
                    <w:numPr>
                      <w:ilvl w:val="0"/>
                      <w:numId w:val="9"/>
                    </w:numPr>
                    <w:tabs>
                      <w:tab w:val="left" w:pos="2610"/>
                    </w:tabs>
                    <w:autoSpaceDE w:val="0"/>
                    <w:autoSpaceDN w:val="0"/>
                    <w:adjustRightInd w:val="0"/>
                    <w:ind w:right="60"/>
                    <w:contextualSpacing/>
                    <w:jc w:val="both"/>
                    <w:rPr>
                      <w:rFonts w:ascii="Times New Roman" w:hAnsi="Times New Roman" w:cs="Times New Roman"/>
                      <w:sz w:val="20"/>
                      <w:szCs w:val="20"/>
                    </w:rPr>
                  </w:pPr>
                  <w:r>
                    <w:rPr>
                      <w:rFonts w:ascii="Times New Roman" w:hAnsi="Times New Roman" w:cs="Times New Roman"/>
                      <w:sz w:val="20"/>
                      <w:szCs w:val="20"/>
                    </w:rPr>
                    <w:t>Patients suffering from pain, always complain to the primary nurse</w:t>
                  </w:r>
                </w:p>
              </w:tc>
            </w:tr>
          </w:tbl>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16</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17</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21</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1.63 </w:t>
            </w: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609" w:hRule="atLeast"/>
        </w:trPr>
        <w:tc>
          <w:tcPr>
            <w:tcW w:w="5058" w:type="dxa"/>
            <w:tcBorders>
              <w:top w:val="single" w:color="auto" w:sz="4" w:space="0"/>
              <w:left w:val="single" w:color="auto" w:sz="4" w:space="0"/>
              <w:bottom w:val="single" w:color="auto" w:sz="4" w:space="0"/>
              <w:right w:val="single" w:color="auto" w:sz="4" w:space="0"/>
            </w:tcBorders>
          </w:tcPr>
          <w:p>
            <w:pPr>
              <w:numPr>
                <w:ilvl w:val="0"/>
                <w:numId w:val="9"/>
              </w:numPr>
              <w:tabs>
                <w:tab w:val="left" w:pos="2610"/>
              </w:tabs>
              <w:spacing w:after="0" w:line="240" w:lineRule="auto"/>
              <w:contextualSpacing/>
              <w:rPr>
                <w:rFonts w:ascii="Times New Roman" w:hAnsi="Times New Roman" w:eastAsia="Times New Roman" w:cs="Times New Roman"/>
                <w:sz w:val="20"/>
                <w:szCs w:val="20"/>
              </w:rPr>
            </w:pPr>
            <w:r>
              <w:rPr>
                <w:rFonts w:ascii="Times New Roman" w:hAnsi="Times New Roman" w:eastAsia="Times New Roman" w:cs="Times New Roman"/>
                <w:sz w:val="20"/>
                <w:szCs w:val="20"/>
              </w:rPr>
              <w:t>Your visual assessment of the patient reporting pain influences your response and treatment of POP.</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32</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3.15 </w:t>
            </w: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744" w:hRule="atLeast"/>
        </w:trPr>
        <w:tc>
          <w:tcPr>
            <w:tcW w:w="5058"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bl>
            <w:tblPr>
              <w:tblStyle w:val="7"/>
              <w:tblW w:w="4140" w:type="dxa"/>
              <w:tblInd w:w="0" w:type="dxa"/>
              <w:tblLayout w:type="fixed"/>
              <w:tblCellMar>
                <w:top w:w="0" w:type="dxa"/>
                <w:left w:w="108" w:type="dxa"/>
                <w:bottom w:w="0" w:type="dxa"/>
                <w:right w:w="108" w:type="dxa"/>
              </w:tblCellMar>
            </w:tblPr>
            <w:tblGrid>
              <w:gridCol w:w="4140"/>
            </w:tblGrid>
            <w:tr>
              <w:trPr>
                <w:trHeight w:val="146" w:hRule="atLeast"/>
              </w:trPr>
              <w:tc>
                <w:tcPr>
                  <w:tcW w:w="4140" w:type="dxa"/>
                </w:tcPr>
                <w:p>
                  <w:pPr>
                    <w:numPr>
                      <w:ilvl w:val="0"/>
                      <w:numId w:val="9"/>
                    </w:numPr>
                    <w:tabs>
                      <w:tab w:val="left" w:pos="2610"/>
                    </w:tabs>
                    <w:autoSpaceDE w:val="0"/>
                    <w:autoSpaceDN w:val="0"/>
                    <w:adjustRightInd w:val="0"/>
                    <w:ind w:right="60"/>
                    <w:contextualSpacing/>
                    <w:rPr>
                      <w:rFonts w:ascii="Times New Roman" w:hAnsi="Times New Roman" w:cs="Times New Roman"/>
                      <w:sz w:val="20"/>
                      <w:szCs w:val="20"/>
                    </w:rPr>
                  </w:pPr>
                  <w:r>
                    <w:rPr>
                      <w:rFonts w:ascii="Times New Roman" w:hAnsi="Times New Roman" w:cs="Times New Roman"/>
                      <w:sz w:val="20"/>
                      <w:szCs w:val="20"/>
                    </w:rPr>
                    <w:t xml:space="preserve">Nurses should rely exclusively on patients’ assessment to determine pain intensity </w:t>
                  </w:r>
                </w:p>
              </w:tc>
            </w:tr>
          </w:tbl>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8</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32</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3.15 </w:t>
            </w: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254" w:hRule="atLeast"/>
        </w:trPr>
        <w:tc>
          <w:tcPr>
            <w:tcW w:w="5058" w:type="dxa"/>
            <w:tcBorders>
              <w:top w:val="single" w:color="auto" w:sz="4" w:space="0"/>
              <w:left w:val="single" w:color="auto" w:sz="4" w:space="0"/>
              <w:bottom w:val="single" w:color="auto" w:sz="4" w:space="0"/>
              <w:right w:val="single" w:color="auto" w:sz="4" w:space="0"/>
            </w:tcBorders>
          </w:tcPr>
          <w:p>
            <w:pPr>
              <w:numPr>
                <w:ilvl w:val="0"/>
                <w:numId w:val="9"/>
              </w:numPr>
              <w:tabs>
                <w:tab w:val="left" w:pos="2610"/>
              </w:tabs>
              <w:autoSpaceDE w:val="0"/>
              <w:autoSpaceDN w:val="0"/>
              <w:adjustRightInd w:val="0"/>
              <w:spacing w:after="0" w:line="240" w:lineRule="auto"/>
              <w:ind w:right="60"/>
              <w:contextualSpacing/>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Spiritual briefs may determine how a patient responds to pain. </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29</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3.17</w:t>
            </w: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836" w:hRule="atLeast"/>
        </w:trPr>
        <w:tc>
          <w:tcPr>
            <w:tcW w:w="5058" w:type="dxa"/>
            <w:tcBorders>
              <w:top w:val="single" w:color="auto" w:sz="4" w:space="0"/>
              <w:left w:val="single" w:color="auto" w:sz="4" w:space="0"/>
              <w:bottom w:val="single" w:color="auto" w:sz="4" w:space="0"/>
              <w:right w:val="single" w:color="auto" w:sz="4" w:space="0"/>
            </w:tcBorders>
          </w:tcPr>
          <w:p>
            <w:pPr>
              <w:numPr>
                <w:ilvl w:val="0"/>
                <w:numId w:val="9"/>
              </w:numPr>
              <w:tabs>
                <w:tab w:val="left" w:pos="2610"/>
              </w:tabs>
              <w:spacing w:after="0" w:line="240" w:lineRule="auto"/>
              <w:contextualSpacing/>
              <w:rPr>
                <w:rFonts w:ascii="Times New Roman" w:hAnsi="Times New Roman" w:eastAsia="Times New Roman" w:cs="Times New Roman"/>
                <w:sz w:val="20"/>
                <w:szCs w:val="20"/>
              </w:rPr>
            </w:pPr>
            <w:r>
              <w:rPr>
                <w:rFonts w:ascii="Times New Roman" w:hAnsi="Times New Roman" w:eastAsia="Times New Roman" w:cs="Times New Roman"/>
                <w:sz w:val="20"/>
                <w:szCs w:val="20"/>
              </w:rPr>
              <w:t>Patients complaining of pain is not my priority when I am busy</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22</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24</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1.77 </w:t>
            </w: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bookmarkStart w:id="216" w:name="_Hlk125630082"/>
            <w:r>
              <w:rPr>
                <w:rFonts w:ascii="Times New Roman" w:hAnsi="Times New Roman" w:eastAsia="Times New Roman" w:cs="Times New Roman"/>
                <w:sz w:val="20"/>
                <w:szCs w:val="20"/>
              </w:rPr>
              <w:t>.</w:t>
            </w:r>
            <w:bookmarkEnd w:id="216"/>
            <w:r>
              <w:rPr>
                <w:rFonts w:ascii="Times New Roman" w:hAnsi="Times New Roman" w:eastAsia="Times New Roman" w:cs="Times New Roman"/>
                <w:sz w:val="20"/>
                <w:szCs w:val="20"/>
              </w:rPr>
              <w:t>427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536" w:hRule="atLeast"/>
        </w:trPr>
        <w:tc>
          <w:tcPr>
            <w:tcW w:w="5058" w:type="dxa"/>
            <w:tcBorders>
              <w:top w:val="single" w:color="auto" w:sz="4" w:space="0"/>
              <w:left w:val="single" w:color="auto" w:sz="4" w:space="0"/>
              <w:bottom w:val="single" w:color="auto" w:sz="4" w:space="0"/>
              <w:right w:val="single" w:color="auto" w:sz="4" w:space="0"/>
            </w:tcBorders>
          </w:tcPr>
          <w:p>
            <w:pPr>
              <w:numPr>
                <w:ilvl w:val="0"/>
                <w:numId w:val="9"/>
              </w:numPr>
              <w:tabs>
                <w:tab w:val="left" w:pos="2610"/>
              </w:tabs>
              <w:autoSpaceDE w:val="0"/>
              <w:autoSpaceDN w:val="0"/>
              <w:adjustRightInd w:val="0"/>
              <w:spacing w:after="0" w:line="240" w:lineRule="auto"/>
              <w:rPr>
                <w:rFonts w:ascii="Times New Roman" w:hAnsi="Times New Roman" w:eastAsia="Times New Roman" w:cs="Times New Roman"/>
                <w:sz w:val="20"/>
                <w:szCs w:val="20"/>
                <w:shd w:val="clear" w:color="auto" w:fill="FFFFFF"/>
              </w:rPr>
            </w:pPr>
            <w:r>
              <w:rPr>
                <w:rFonts w:ascii="Times New Roman" w:hAnsi="Times New Roman" w:eastAsia="Times New Roman" w:cs="Times New Roman"/>
                <w:sz w:val="20"/>
                <w:szCs w:val="20"/>
                <w:shd w:val="clear" w:color="auto" w:fill="FFFFFF"/>
              </w:rPr>
              <w:t>The type of surgery done affects your response to pain management.</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13</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28</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13</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2.68 </w:t>
            </w: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 w:type="dxa"/>
          <w:trHeight w:val="70" w:hRule="atLeast"/>
        </w:trPr>
        <w:tc>
          <w:tcPr>
            <w:tcW w:w="5058" w:type="dxa"/>
            <w:tcBorders>
              <w:top w:val="single" w:color="auto" w:sz="4" w:space="0"/>
              <w:left w:val="single" w:color="auto" w:sz="4" w:space="0"/>
              <w:bottom w:val="single" w:color="auto" w:sz="4" w:space="0"/>
              <w:right w:val="single" w:color="auto" w:sz="4" w:space="0"/>
            </w:tcBorders>
          </w:tcPr>
          <w:p>
            <w:pPr>
              <w:numPr>
                <w:ilvl w:val="0"/>
                <w:numId w:val="9"/>
              </w:numPr>
              <w:tabs>
                <w:tab w:val="left" w:pos="2610"/>
              </w:tabs>
              <w:autoSpaceDE w:val="0"/>
              <w:autoSpaceDN w:val="0"/>
              <w:adjustRightInd w:val="0"/>
              <w:spacing w:after="0" w:line="240" w:lineRule="auto"/>
              <w:ind w:right="60"/>
              <w:contextualSpacing/>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Women exaggerate post-operative pain during assessment. </w:t>
            </w:r>
          </w:p>
          <w:p>
            <w:pPr>
              <w:tabs>
                <w:tab w:val="left" w:pos="2610"/>
              </w:tabs>
              <w:autoSpaceDE w:val="0"/>
              <w:autoSpaceDN w:val="0"/>
              <w:adjustRightInd w:val="0"/>
              <w:spacing w:after="0" w:line="240" w:lineRule="auto"/>
              <w:rPr>
                <w:rFonts w:ascii="Times New Roman" w:hAnsi="Times New Roman" w:eastAsia="Times New Roman" w:cs="Times New Roman"/>
                <w:sz w:val="20"/>
                <w:szCs w:val="20"/>
                <w:shd w:val="clear" w:color="auto" w:fill="FFFFFF"/>
              </w:rPr>
            </w:pP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18</w:t>
            </w:r>
          </w:p>
        </w:tc>
        <w:tc>
          <w:tcPr>
            <w:tcW w:w="63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26</w:t>
            </w:r>
          </w:p>
        </w:tc>
        <w:tc>
          <w:tcPr>
            <w:tcW w:w="72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990"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1.73 </w:t>
            </w:r>
          </w:p>
        </w:tc>
        <w:tc>
          <w:tcPr>
            <w:tcW w:w="1092"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.446</w:t>
            </w:r>
          </w:p>
        </w:tc>
      </w:tr>
    </w:tbl>
    <w:p>
      <w:pPr>
        <w:rPr>
          <w:rFonts w:ascii="Times New Roman" w:hAnsi="Times New Roman" w:cs="Times New Roman"/>
          <w:sz w:val="24"/>
          <w:szCs w:val="24"/>
        </w:rPr>
      </w:pPr>
    </w:p>
    <w:p>
      <w:pPr>
        <w:tabs>
          <w:tab w:val="left" w:pos="2610"/>
        </w:tabs>
        <w:autoSpaceDE w:val="0"/>
        <w:autoSpaceDN w:val="0"/>
        <w:adjustRightInd w:val="0"/>
        <w:spacing w:line="480" w:lineRule="auto"/>
        <w:ind w:right="60"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Table 10 shows that most of the respondents had an unacceptable attitude toward post-operative pain management. For example, the respondents agreed with the statement that lack of expression in postoperative patients meant lack of pain (M=1.62, SD =.490). Similarly, the respondents agreed with the statement that morphine is a strong drug, and patients should be contented with just one dose (M=1.63, SD=.486). Furthermore, the respondents agreed with the statement that patients suffering from pain, always complain to the primary nurse (M=1.63, SD=.486). Likewise, the respondents agreed with the statement that the visual assessment of the patient reporting pain influences the response and treatment of POP (M= 3.15, SD=.709). Last but not least, the respondents agreed with the statement that patients complaining of pain is not the priority when busy (M=1.77, SD=.427). Lastly, the respondents agreed with the statement that women exaggerated post-operative pain during assessment (M=1.73, SD=.446). </w:t>
      </w:r>
    </w:p>
    <w:p>
      <w:pPr>
        <w:tabs>
          <w:tab w:val="left" w:pos="2610"/>
        </w:tabs>
        <w:autoSpaceDE w:val="0"/>
        <w:autoSpaceDN w:val="0"/>
        <w:adjustRightInd w:val="0"/>
        <w:spacing w:line="480" w:lineRule="auto"/>
        <w:ind w:right="60" w:firstLine="720"/>
        <w:contextualSpacing/>
        <w:jc w:val="both"/>
        <w:rPr>
          <w:rFonts w:ascii="Times New Roman" w:hAnsi="Times New Roman" w:cs="Times New Roman"/>
          <w:bCs/>
          <w:sz w:val="24"/>
          <w:szCs w:val="24"/>
        </w:rPr>
      </w:pPr>
      <w:r>
        <w:rPr>
          <w:rFonts w:ascii="Times New Roman" w:hAnsi="Times New Roman" w:cs="Times New Roman"/>
          <w:sz w:val="24"/>
          <w:szCs w:val="24"/>
        </w:rPr>
        <w:t xml:space="preserve">Nevertheless, some respondents displayed an acceptable attitude toward post-operative pain management. For instance, the respondents agreed to the statement that at all times agree with the patient’s self-report of pain (M= 3.25, SD= .773). Also, the respondents agreed with the statement that nurses should rely exclusively on patients’ assessment to determine pain intensity (M=3.15, SD =.709). Likewise, the respondents agreed with the statement that spiritual briefs may determine how a patient responded to pain (M= 3.17, SD= 1.011). In addition, the patients agreed to the statement that the type of surgery affected the response to pain management (2.68, SD=1.049). Following the application of the educational intervention of integrating the pain assessment scale into nurses’ attitudes, the researcher carried out a posttest and the findings are presented </w:t>
      </w:r>
      <w:r>
        <w:rPr>
          <w:rFonts w:ascii="Times New Roman" w:hAnsi="Times New Roman" w:cs="Times New Roman"/>
          <w:bCs/>
          <w:sz w:val="24"/>
          <w:szCs w:val="24"/>
        </w:rPr>
        <w:t>in Table 11.</w:t>
      </w:r>
    </w:p>
    <w:p>
      <w:pPr>
        <w:tabs>
          <w:tab w:val="left" w:pos="2610"/>
        </w:tabs>
        <w:autoSpaceDE w:val="0"/>
        <w:autoSpaceDN w:val="0"/>
        <w:adjustRightInd w:val="0"/>
        <w:spacing w:line="480" w:lineRule="auto"/>
        <w:ind w:right="60" w:firstLine="720"/>
        <w:contextualSpacing/>
        <w:jc w:val="both"/>
        <w:rPr>
          <w:rFonts w:ascii="Times New Roman" w:hAnsi="Times New Roman" w:cs="Times New Roman"/>
          <w:bCs/>
          <w:sz w:val="24"/>
          <w:szCs w:val="24"/>
        </w:rPr>
      </w:pPr>
    </w:p>
    <w:p>
      <w:pPr>
        <w:pStyle w:val="9"/>
        <w:keepNext/>
        <w:rPr>
          <w:rFonts w:ascii="Times New Roman" w:hAnsi="Times New Roman" w:cs="Times New Roman"/>
          <w:sz w:val="24"/>
          <w:szCs w:val="24"/>
        </w:rPr>
      </w:pPr>
      <w:bookmarkStart w:id="217" w:name="_Toc134608203"/>
      <w:bookmarkStart w:id="218" w:name="_Toc134604187"/>
      <w:bookmarkStart w:id="219" w:name="_Toc120852260"/>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1 Posttest attitude towards post-operative pain management.</w:t>
      </w:r>
      <w:bookmarkEnd w:id="217"/>
    </w:p>
    <w:bookmarkEnd w:id="218"/>
    <w:bookmarkEnd w:id="219"/>
    <w:tbl>
      <w:tblPr>
        <w:tblStyle w:val="47"/>
        <w:tblW w:w="99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91"/>
        <w:gridCol w:w="801"/>
        <w:gridCol w:w="773"/>
        <w:gridCol w:w="696"/>
        <w:gridCol w:w="618"/>
        <w:gridCol w:w="773"/>
        <w:gridCol w:w="22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trPr>
        <w:tc>
          <w:tcPr>
            <w:tcW w:w="399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Variable </w:t>
            </w:r>
          </w:p>
        </w:tc>
        <w:tc>
          <w:tcPr>
            <w:tcW w:w="80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SD</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D</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6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A</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618"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SA</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Mean </w:t>
            </w:r>
          </w:p>
        </w:tc>
        <w:tc>
          <w:tcPr>
            <w:tcW w:w="22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(Std.)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3991" w:type="dxa"/>
            <w:tcBorders>
              <w:top w:val="single" w:color="auto" w:sz="4" w:space="0"/>
              <w:left w:val="single" w:color="auto" w:sz="4" w:space="0"/>
              <w:bottom w:val="single" w:color="auto" w:sz="4" w:space="0"/>
              <w:right w:val="single" w:color="auto" w:sz="4" w:space="0"/>
            </w:tcBorders>
          </w:tcPr>
          <w:p>
            <w:pPr>
              <w:numPr>
                <w:ilvl w:val="0"/>
                <w:numId w:val="10"/>
              </w:numPr>
              <w:tabs>
                <w:tab w:val="left" w:pos="2610"/>
              </w:tabs>
              <w:spacing w:after="0" w:line="240" w:lineRule="auto"/>
              <w:contextualSpacing/>
              <w:rPr>
                <w:rFonts w:ascii="Times New Roman" w:hAnsi="Times New Roman" w:eastAsia="Times New Roman" w:cs="Times New Roman"/>
                <w:sz w:val="20"/>
                <w:szCs w:val="20"/>
              </w:rPr>
            </w:pPr>
            <w:r>
              <w:rPr>
                <w:rFonts w:ascii="Times New Roman" w:hAnsi="Times New Roman" w:eastAsia="Times New Roman" w:cs="Times New Roman"/>
                <w:sz w:val="20"/>
                <w:szCs w:val="20"/>
              </w:rPr>
              <w:t>I anticipate pain in all surgical procedures before I assess and treat pain in a patient.</w:t>
            </w:r>
          </w:p>
          <w:p>
            <w:pPr>
              <w:tabs>
                <w:tab w:val="left" w:pos="2610"/>
              </w:tabs>
              <w:autoSpaceDE w:val="0"/>
              <w:autoSpaceDN w:val="0"/>
              <w:adjustRightInd w:val="0"/>
              <w:spacing w:after="0" w:line="240" w:lineRule="auto"/>
              <w:rPr>
                <w:rFonts w:ascii="Times New Roman" w:hAnsi="Times New Roman" w:eastAsia="MS Mincho" w:cs="Times New Roman"/>
                <w:sz w:val="20"/>
                <w:szCs w:val="20"/>
                <w:lang w:eastAsia="ja-JP"/>
              </w:rPr>
            </w:pPr>
          </w:p>
        </w:tc>
        <w:tc>
          <w:tcPr>
            <w:tcW w:w="80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6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27</w:t>
            </w:r>
          </w:p>
        </w:tc>
        <w:tc>
          <w:tcPr>
            <w:tcW w:w="618"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25</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3.38</w:t>
            </w:r>
          </w:p>
        </w:tc>
        <w:tc>
          <w:tcPr>
            <w:tcW w:w="22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1" w:hRule="atLeast"/>
        </w:trPr>
        <w:tc>
          <w:tcPr>
            <w:tcW w:w="3991" w:type="dxa"/>
            <w:tcBorders>
              <w:top w:val="single" w:color="auto" w:sz="4" w:space="0"/>
              <w:left w:val="single" w:color="auto" w:sz="4" w:space="0"/>
              <w:bottom w:val="single" w:color="auto" w:sz="4" w:space="0"/>
              <w:right w:val="single" w:color="auto" w:sz="4" w:space="0"/>
            </w:tcBorders>
          </w:tcPr>
          <w:tbl>
            <w:tblPr>
              <w:tblStyle w:val="7"/>
              <w:tblW w:w="3077" w:type="dxa"/>
              <w:tblInd w:w="0" w:type="dxa"/>
              <w:tblLayout w:type="fixed"/>
              <w:tblCellMar>
                <w:top w:w="0" w:type="dxa"/>
                <w:left w:w="108" w:type="dxa"/>
                <w:bottom w:w="0" w:type="dxa"/>
                <w:right w:w="108" w:type="dxa"/>
              </w:tblCellMar>
            </w:tblPr>
            <w:tblGrid>
              <w:gridCol w:w="3077"/>
            </w:tblGrid>
            <w:tr>
              <w:tblPrEx>
                <w:tblCellMar>
                  <w:top w:w="0" w:type="dxa"/>
                  <w:left w:w="108" w:type="dxa"/>
                  <w:bottom w:w="0" w:type="dxa"/>
                  <w:right w:w="108" w:type="dxa"/>
                </w:tblCellMar>
              </w:tblPrEx>
              <w:trPr>
                <w:trHeight w:val="37" w:hRule="atLeast"/>
              </w:trPr>
              <w:tc>
                <w:tcPr>
                  <w:tcW w:w="3077" w:type="dxa"/>
                </w:tcPr>
                <w:p>
                  <w:pPr>
                    <w:numPr>
                      <w:ilvl w:val="0"/>
                      <w:numId w:val="10"/>
                    </w:numPr>
                    <w:tabs>
                      <w:tab w:val="left" w:pos="2610"/>
                    </w:tabs>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 xml:space="preserve">If patient’s thoughts are distracted from pain, they usually do not suffer from severe pain </w:t>
                  </w:r>
                </w:p>
              </w:tc>
            </w:tr>
          </w:tbl>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80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14</w:t>
            </w:r>
          </w:p>
        </w:tc>
        <w:tc>
          <w:tcPr>
            <w:tcW w:w="6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18</w:t>
            </w:r>
          </w:p>
        </w:tc>
        <w:tc>
          <w:tcPr>
            <w:tcW w:w="618"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24</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2.88 </w:t>
            </w:r>
          </w:p>
        </w:tc>
        <w:tc>
          <w:tcPr>
            <w:tcW w:w="22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399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bl>
            <w:tblPr>
              <w:tblStyle w:val="7"/>
              <w:tblW w:w="3694" w:type="dxa"/>
              <w:tblInd w:w="0" w:type="dxa"/>
              <w:tblLayout w:type="fixed"/>
              <w:tblCellMar>
                <w:top w:w="0" w:type="dxa"/>
                <w:left w:w="108" w:type="dxa"/>
                <w:bottom w:w="0" w:type="dxa"/>
                <w:right w:w="108" w:type="dxa"/>
              </w:tblCellMar>
            </w:tblPr>
            <w:tblGrid>
              <w:gridCol w:w="3694"/>
            </w:tblGrid>
            <w:tr>
              <w:trPr>
                <w:trHeight w:val="657" w:hRule="atLeast"/>
              </w:trPr>
              <w:tc>
                <w:tcPr>
                  <w:tcW w:w="3694" w:type="dxa"/>
                </w:tcPr>
                <w:p>
                  <w:pPr>
                    <w:numPr>
                      <w:ilvl w:val="0"/>
                      <w:numId w:val="10"/>
                    </w:numPr>
                    <w:tabs>
                      <w:tab w:val="left" w:pos="2610"/>
                    </w:tabs>
                    <w:contextualSpacing/>
                    <w:rPr>
                      <w:rFonts w:ascii="Times New Roman" w:hAnsi="Times New Roman" w:cs="Times New Roman"/>
                      <w:sz w:val="20"/>
                      <w:szCs w:val="20"/>
                    </w:rPr>
                  </w:pPr>
                  <w:r>
                    <w:rPr>
                      <w:rFonts w:ascii="Times New Roman" w:hAnsi="Times New Roman" w:cs="Times New Roman"/>
                      <w:sz w:val="20"/>
                      <w:szCs w:val="20"/>
                    </w:rPr>
                    <w:t>Using pain measurement instruments is integral in postoperative pain management</w:t>
                  </w:r>
                </w:p>
              </w:tc>
            </w:tr>
          </w:tbl>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80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7</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6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19</w:t>
            </w:r>
          </w:p>
        </w:tc>
        <w:tc>
          <w:tcPr>
            <w:tcW w:w="618"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29</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3.17 </w:t>
            </w:r>
          </w:p>
        </w:tc>
        <w:tc>
          <w:tcPr>
            <w:tcW w:w="22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1.011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399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bl>
            <w:tblPr>
              <w:tblStyle w:val="7"/>
              <w:tblW w:w="3797" w:type="dxa"/>
              <w:tblInd w:w="0" w:type="dxa"/>
              <w:tblLayout w:type="fixed"/>
              <w:tblCellMar>
                <w:top w:w="0" w:type="dxa"/>
                <w:left w:w="108" w:type="dxa"/>
                <w:bottom w:w="0" w:type="dxa"/>
                <w:right w:w="108" w:type="dxa"/>
              </w:tblCellMar>
            </w:tblPr>
            <w:tblGrid>
              <w:gridCol w:w="3797"/>
            </w:tblGrid>
            <w:tr>
              <w:trPr>
                <w:trHeight w:val="61" w:hRule="atLeast"/>
              </w:trPr>
              <w:tc>
                <w:tcPr>
                  <w:tcW w:w="3797" w:type="dxa"/>
                </w:tcPr>
                <w:p>
                  <w:pPr>
                    <w:tabs>
                      <w:tab w:val="left" w:pos="2610"/>
                    </w:tabs>
                    <w:autoSpaceDE w:val="0"/>
                    <w:autoSpaceDN w:val="0"/>
                    <w:adjustRightInd w:val="0"/>
                    <w:spacing w:after="0" w:line="240" w:lineRule="auto"/>
                    <w:rPr>
                      <w:rFonts w:ascii="Times New Roman" w:hAnsi="Times New Roman" w:cs="Times New Roman"/>
                      <w:sz w:val="20"/>
                      <w:szCs w:val="20"/>
                    </w:rPr>
                  </w:pPr>
                </w:p>
              </w:tc>
            </w:tr>
            <w:tr>
              <w:trPr>
                <w:trHeight w:val="61" w:hRule="atLeast"/>
              </w:trPr>
              <w:tc>
                <w:tcPr>
                  <w:tcW w:w="3797" w:type="dxa"/>
                </w:tcPr>
                <w:p>
                  <w:pPr>
                    <w:numPr>
                      <w:ilvl w:val="0"/>
                      <w:numId w:val="10"/>
                    </w:numPr>
                    <w:tabs>
                      <w:tab w:val="left" w:pos="2610"/>
                    </w:tabs>
                    <w:contextualSpacing/>
                    <w:rPr>
                      <w:rFonts w:ascii="Times New Roman" w:hAnsi="Times New Roman" w:cs="Times New Roman"/>
                      <w:sz w:val="20"/>
                      <w:szCs w:val="20"/>
                    </w:rPr>
                  </w:pPr>
                  <w:bookmarkStart w:id="220" w:name="_Hlk125636122"/>
                  <w:r>
                    <w:rPr>
                      <w:rFonts w:ascii="Times New Roman" w:hAnsi="Times New Roman" w:cs="Times New Roman"/>
                      <w:sz w:val="20"/>
                      <w:szCs w:val="20"/>
                    </w:rPr>
                    <w:t>Elderly patients are not able to cope with opioid analgesics for pain relief</w:t>
                  </w:r>
                  <w:bookmarkEnd w:id="220"/>
                </w:p>
              </w:tc>
            </w:tr>
          </w:tbl>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80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5</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22</w:t>
            </w:r>
          </w:p>
        </w:tc>
        <w:tc>
          <w:tcPr>
            <w:tcW w:w="6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24</w:t>
            </w:r>
          </w:p>
        </w:tc>
        <w:tc>
          <w:tcPr>
            <w:tcW w:w="618"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9</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1.77 </w:t>
            </w:r>
          </w:p>
        </w:tc>
        <w:tc>
          <w:tcPr>
            <w:tcW w:w="22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trPr>
        <w:tc>
          <w:tcPr>
            <w:tcW w:w="3991" w:type="dxa"/>
            <w:tcBorders>
              <w:top w:val="single" w:color="auto" w:sz="4" w:space="0"/>
              <w:left w:val="single" w:color="auto" w:sz="4" w:space="0"/>
              <w:bottom w:val="single" w:color="auto" w:sz="4" w:space="0"/>
              <w:right w:val="single" w:color="auto" w:sz="4" w:space="0"/>
            </w:tcBorders>
          </w:tcPr>
          <w:p>
            <w:pPr>
              <w:numPr>
                <w:ilvl w:val="0"/>
                <w:numId w:val="10"/>
              </w:num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Before using an opioid analgesic, I will encourage the patients to wait a while longer till the next dose.  </w:t>
            </w:r>
          </w:p>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p>
        </w:tc>
        <w:tc>
          <w:tcPr>
            <w:tcW w:w="801"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16</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17</w:t>
            </w:r>
          </w:p>
        </w:tc>
        <w:tc>
          <w:tcPr>
            <w:tcW w:w="6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21</w:t>
            </w:r>
          </w:p>
        </w:tc>
        <w:tc>
          <w:tcPr>
            <w:tcW w:w="618"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6</w:t>
            </w:r>
          </w:p>
        </w:tc>
        <w:tc>
          <w:tcPr>
            <w:tcW w:w="773"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1.63 </w:t>
            </w:r>
          </w:p>
        </w:tc>
        <w:tc>
          <w:tcPr>
            <w:tcW w:w="2296" w:type="dxa"/>
            <w:tcBorders>
              <w:top w:val="single" w:color="auto" w:sz="4" w:space="0"/>
              <w:left w:val="single" w:color="auto" w:sz="4" w:space="0"/>
              <w:bottom w:val="single" w:color="auto" w:sz="4" w:space="0"/>
              <w:right w:val="single" w:color="auto" w:sz="4" w:space="0"/>
            </w:tcBorders>
          </w:tcPr>
          <w:p>
            <w:pPr>
              <w:tabs>
                <w:tab w:val="left" w:pos="2610"/>
              </w:tabs>
              <w:autoSpaceDE w:val="0"/>
              <w:autoSpaceDN w:val="0"/>
              <w:adjustRightInd w:val="0"/>
              <w:spacing w:after="0" w:line="24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.486</w:t>
            </w:r>
          </w:p>
        </w:tc>
      </w:tr>
    </w:tbl>
    <w:p>
      <w:pPr>
        <w:tabs>
          <w:tab w:val="left" w:pos="2610"/>
        </w:tabs>
        <w:spacing w:line="480" w:lineRule="auto"/>
        <w:ind w:firstLine="720"/>
        <w:rPr>
          <w:rFonts w:ascii="Times New Roman" w:hAnsi="Times New Roman" w:cs="Times New Roman"/>
          <w:color w:val="000000" w:themeColor="text1"/>
          <w:sz w:val="24"/>
          <w:szCs w:val="24"/>
          <w14:textFill>
            <w14:solidFill>
              <w14:schemeClr w14:val="tx1"/>
            </w14:solidFill>
          </w14:textFill>
        </w:rPr>
      </w:pPr>
    </w:p>
    <w:p>
      <w:pPr>
        <w:tabs>
          <w:tab w:val="left" w:pos="2610"/>
        </w:tabs>
        <w:spacing w:line="480" w:lineRule="auto"/>
        <w:ind w:firstLine="720"/>
        <w:jc w:val="both"/>
        <w:rPr>
          <w:rFonts w:ascii="Times New Roman" w:hAnsi="Times New Roman" w:cs="Times New Roman"/>
          <w:sz w:val="24"/>
          <w:szCs w:val="24"/>
        </w:rPr>
      </w:pPr>
      <w:r>
        <w:rPr>
          <w:rFonts w:ascii="Times New Roman" w:hAnsi="Times New Roman" w:cs="Times New Roman"/>
          <w:color w:val="000000" w:themeColor="text1"/>
          <w:sz w:val="24"/>
          <w:szCs w:val="24"/>
          <w14:textFill>
            <w14:solidFill>
              <w14:schemeClr w14:val="tx1"/>
            </w14:solidFill>
          </w14:textFill>
        </w:rPr>
        <w:t xml:space="preserve">Table 11 shows </w:t>
      </w:r>
      <w:r>
        <w:rPr>
          <w:rFonts w:ascii="Times New Roman" w:hAnsi="Times New Roman" w:cs="Times New Roman"/>
          <w:sz w:val="24"/>
          <w:szCs w:val="24"/>
        </w:rPr>
        <w:t>that the majority of the respondent had an acceptable attitude toward post-operative pain management. For example, the respondents agreed with the statement that pain should be anticipated in all surgical procedures before the assessment and treatment of pain in post-operative patients (M= 3.38, SD =. 717). In addition, the respondents agreed with the statement that patients distracted from pain don’t suffer from severe pain (M= 2.88, SD= 1.027). Likewise, the respondents agreed</w:t>
      </w:r>
      <w:r>
        <w:rPr>
          <w:rFonts w:ascii="Times New Roman" w:hAnsi="Times New Roman" w:cs="Times New Roman"/>
          <w:color w:val="70AD47" w:themeColor="accent6"/>
          <w:sz w:val="24"/>
          <w:szCs w:val="24"/>
          <w14:textFill>
            <w14:solidFill>
              <w14:schemeClr w14:val="accent6"/>
            </w14:solidFill>
          </w14:textFill>
        </w:rPr>
        <w:t xml:space="preserve"> </w:t>
      </w:r>
      <w:r>
        <w:rPr>
          <w:rFonts w:ascii="Times New Roman" w:hAnsi="Times New Roman" w:cs="Times New Roman"/>
          <w:sz w:val="24"/>
          <w:szCs w:val="24"/>
        </w:rPr>
        <w:t>that using pain measurement instruments was integral in postoperative pain management (M= 3.17, SD= 1.011). Further, the respondents disagreed with the statement that before an opioid analgesic is used, will encourage the patients to wait a while longer till the next dose (M=1.63, SD = .486). But then, some respondents displayed an unacceptable attitude toward POP management. For example, the respondents disagreed with the statement that elderly patients are not able to cope with opioid analgesics for pain relief (M= 1.77, SD= .427). All the negatively stated statements were reversed for the respondents who disagreed received a higher score as they reflected an acceptable attitude. The post attitude total scores for the respondents were determined and categorized under two levels where (below 79% denoted an unacceptable attitude and above 80% denoted an acceptable attitude) respectively.   The findings are presented in Table 12.</w:t>
      </w:r>
    </w:p>
    <w:p>
      <w:pPr>
        <w:pStyle w:val="9"/>
        <w:keepNext/>
        <w:rPr>
          <w:rFonts w:ascii="Times New Roman" w:hAnsi="Times New Roman" w:cs="Times New Roman"/>
          <w:sz w:val="24"/>
          <w:szCs w:val="24"/>
        </w:rPr>
      </w:pPr>
      <w:bookmarkStart w:id="221" w:name="_Toc134608204"/>
      <w:r>
        <w:rPr>
          <w:rFonts w:ascii="Times New Roman" w:hAnsi="Times New Roman" w:cs="Times New Roman"/>
          <w:sz w:val="24"/>
          <w:szCs w:val="24"/>
        </w:rPr>
        <w:t xml:space="preserve">Table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Table \* ARABIC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t xml:space="preserve"> Comparison of pretest and posttest totals.</w:t>
      </w:r>
      <w:bookmarkEnd w:id="221"/>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75"/>
        <w:gridCol w:w="2070"/>
        <w:gridCol w:w="33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3775" w:type="dxa"/>
            <w:vMerge w:val="restart"/>
          </w:tcPr>
          <w:p>
            <w:pPr>
              <w:tabs>
                <w:tab w:val="left" w:pos="2610"/>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Category of totals </w:t>
            </w:r>
          </w:p>
        </w:tc>
        <w:tc>
          <w:tcPr>
            <w:tcW w:w="5400" w:type="dxa"/>
            <w:gridSpan w:val="2"/>
          </w:tcPr>
          <w:p>
            <w:pPr>
              <w:tabs>
                <w:tab w:val="left" w:pos="261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Attitude totals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3775" w:type="dxa"/>
            <w:vMerge w:val="continue"/>
          </w:tcPr>
          <w:p>
            <w:pPr>
              <w:tabs>
                <w:tab w:val="left" w:pos="2610"/>
              </w:tabs>
              <w:spacing w:after="0" w:line="240" w:lineRule="auto"/>
              <w:rPr>
                <w:rFonts w:ascii="Times New Roman" w:hAnsi="Times New Roman" w:cs="Times New Roman"/>
                <w:sz w:val="24"/>
                <w:szCs w:val="24"/>
              </w:rPr>
            </w:pPr>
          </w:p>
        </w:tc>
        <w:tc>
          <w:tcPr>
            <w:tcW w:w="2070"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Pretest</w:t>
            </w:r>
          </w:p>
        </w:tc>
        <w:tc>
          <w:tcPr>
            <w:tcW w:w="3330"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Posttest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3775" w:type="dxa"/>
          </w:tcPr>
          <w:p>
            <w:pPr>
              <w:tabs>
                <w:tab w:val="left" w:pos="2610"/>
              </w:tabs>
              <w:spacing w:after="0" w:line="240" w:lineRule="auto"/>
              <w:rPr>
                <w:rFonts w:ascii="Times New Roman" w:hAnsi="Times New Roman" w:cs="Times New Roman"/>
                <w:sz w:val="24"/>
                <w:szCs w:val="24"/>
              </w:rPr>
            </w:pPr>
            <w:r>
              <w:rPr>
                <w:rFonts w:ascii="Times New Roman" w:hAnsi="Times New Roman" w:cs="Times New Roman"/>
                <w:sz w:val="24"/>
                <w:szCs w:val="24"/>
              </w:rPr>
              <w:t>Below 79% (unacceptable attitude)</w:t>
            </w:r>
          </w:p>
        </w:tc>
        <w:tc>
          <w:tcPr>
            <w:tcW w:w="2070"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3330"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78.3%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3775" w:type="dxa"/>
          </w:tcPr>
          <w:p>
            <w:pPr>
              <w:tabs>
                <w:tab w:val="left" w:pos="2610"/>
              </w:tabs>
              <w:spacing w:after="0" w:line="240" w:lineRule="auto"/>
              <w:rPr>
                <w:rFonts w:ascii="Times New Roman" w:hAnsi="Times New Roman" w:cs="Times New Roman"/>
                <w:sz w:val="24"/>
                <w:szCs w:val="24"/>
              </w:rPr>
            </w:pPr>
            <w:r>
              <w:rPr>
                <w:rFonts w:ascii="Times New Roman" w:hAnsi="Times New Roman" w:cs="Times New Roman"/>
                <w:sz w:val="24"/>
                <w:szCs w:val="24"/>
              </w:rPr>
              <w:t>Above 80% (acceptable attitude)</w:t>
            </w:r>
          </w:p>
        </w:tc>
        <w:tc>
          <w:tcPr>
            <w:tcW w:w="2070"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None</w:t>
            </w:r>
          </w:p>
        </w:tc>
        <w:tc>
          <w:tcPr>
            <w:tcW w:w="3330" w:type="dxa"/>
          </w:tcPr>
          <w:p>
            <w:pPr>
              <w:tabs>
                <w:tab w:val="left" w:pos="261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21.7%</w:t>
            </w:r>
          </w:p>
        </w:tc>
      </w:tr>
    </w:tbl>
    <w:p>
      <w:pPr>
        <w:pStyle w:val="3"/>
        <w:spacing w:line="480" w:lineRule="auto"/>
        <w:rPr>
          <w:rFonts w:ascii="Times New Roman" w:hAnsi="Times New Roman" w:cs="Times New Roman"/>
          <w:sz w:val="24"/>
          <w:szCs w:val="24"/>
        </w:rPr>
      </w:pPr>
      <w:r>
        <w:rPr>
          <w:rFonts w:ascii="Times New Roman" w:hAnsi="Times New Roman" w:cs="Times New Roman"/>
          <w:sz w:val="24"/>
          <w:szCs w:val="24"/>
        </w:rPr>
        <w:t xml:space="preserve">       </w:t>
      </w:r>
      <w:bookmarkStart w:id="222" w:name="_Toc134608309"/>
      <w:bookmarkStart w:id="223" w:name="_Toc134604188"/>
      <w:bookmarkStart w:id="224" w:name="_Toc142753429"/>
    </w:p>
    <w:p>
      <w:pPr>
        <w:pStyle w:val="3"/>
        <w:spacing w:line="480" w:lineRule="auto"/>
        <w:rPr>
          <w:rFonts w:ascii="Times New Roman" w:hAnsi="Times New Roman" w:cs="Times New Roman"/>
          <w:b w:val="0"/>
          <w:bCs/>
          <w:color w:val="auto"/>
          <w:sz w:val="24"/>
          <w:szCs w:val="24"/>
          <w:shd w:val="clear" w:color="auto" w:fill="FFFFFF"/>
        </w:rPr>
      </w:pPr>
      <w:r>
        <w:rPr>
          <w:rFonts w:ascii="Times New Roman" w:hAnsi="Times New Roman" w:cs="Times New Roman"/>
          <w:sz w:val="24"/>
          <w:szCs w:val="24"/>
        </w:rPr>
        <w:t xml:space="preserve">             </w:t>
      </w:r>
      <w:r>
        <w:rPr>
          <w:rFonts w:ascii="Times New Roman" w:hAnsi="Times New Roman" w:cs="Times New Roman"/>
          <w:b w:val="0"/>
          <w:bCs/>
          <w:color w:val="auto"/>
          <w:sz w:val="24"/>
          <w:szCs w:val="24"/>
        </w:rPr>
        <w:t xml:space="preserve">Table 12 shows that the respondent’s level of attitude improved by 21.7% after the educational intervention. A paired t-test was conducted to </w:t>
      </w:r>
      <w:r>
        <w:rPr>
          <w:rFonts w:ascii="Times New Roman" w:hAnsi="Times New Roman" w:cs="Times New Roman"/>
          <w:b w:val="0"/>
          <w:bCs/>
          <w:color w:val="auto"/>
          <w:sz w:val="24"/>
          <w:szCs w:val="24"/>
          <w:shd w:val="clear" w:color="auto" w:fill="FFFFFF"/>
        </w:rPr>
        <w:t>determine the effect of the intervention.</w:t>
      </w:r>
      <w:bookmarkStart w:id="225" w:name="_Toc120852263"/>
      <w:r>
        <w:rPr>
          <w:rFonts w:ascii="Times New Roman" w:hAnsi="Times New Roman" w:cs="Times New Roman"/>
          <w:b w:val="0"/>
          <w:bCs/>
          <w:color w:val="auto"/>
          <w:sz w:val="24"/>
          <w:szCs w:val="24"/>
          <w:shd w:val="clear" w:color="auto" w:fill="FFFFFF"/>
        </w:rPr>
        <w:t xml:space="preserve"> The findings are illustrated in Table 1</w:t>
      </w:r>
      <w:bookmarkEnd w:id="222"/>
      <w:bookmarkEnd w:id="223"/>
      <w:bookmarkEnd w:id="224"/>
      <w:r>
        <w:rPr>
          <w:rFonts w:ascii="Times New Roman" w:hAnsi="Times New Roman" w:cs="Times New Roman"/>
          <w:b w:val="0"/>
          <w:bCs/>
          <w:color w:val="auto"/>
          <w:sz w:val="24"/>
          <w:szCs w:val="24"/>
          <w:shd w:val="clear" w:color="auto" w:fill="FFFFFF"/>
        </w:rPr>
        <w:t>3</w:t>
      </w:r>
    </w:p>
    <w:p>
      <w:pPr>
        <w:pStyle w:val="9"/>
        <w:keepNext/>
        <w:rPr>
          <w:rFonts w:ascii="Times New Roman" w:hAnsi="Times New Roman" w:cs="Times New Roman"/>
          <w:sz w:val="24"/>
          <w:szCs w:val="24"/>
        </w:rPr>
      </w:pPr>
      <w:bookmarkStart w:id="226" w:name="_Toc134608205"/>
      <w:bookmarkStart w:id="227" w:name="_Toc134604189"/>
      <w:r>
        <w:rPr>
          <w:rFonts w:ascii="Times New Roman" w:hAnsi="Times New Roman" w:cs="Times New Roman"/>
          <w:sz w:val="24"/>
          <w:szCs w:val="24"/>
        </w:rPr>
        <w:t>Table 13; Paired sample statistics for attitude</w:t>
      </w:r>
      <w:bookmarkEnd w:id="226"/>
    </w:p>
    <w:bookmarkEnd w:id="225"/>
    <w:bookmarkEnd w:id="227"/>
    <w:tbl>
      <w:tblPr>
        <w:tblStyle w:val="19"/>
        <w:tblW w:w="98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10"/>
        <w:gridCol w:w="1010"/>
        <w:gridCol w:w="1203"/>
        <w:gridCol w:w="891"/>
        <w:gridCol w:w="1324"/>
        <w:gridCol w:w="1074"/>
        <w:gridCol w:w="923"/>
        <w:gridCol w:w="540"/>
        <w:gridCol w:w="15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vMerge w:val="restart"/>
          </w:tcPr>
          <w:p>
            <w:pPr>
              <w:tabs>
                <w:tab w:val="left" w:pos="2610"/>
              </w:tabs>
              <w:spacing w:after="0" w:line="480" w:lineRule="auto"/>
              <w:rPr>
                <w:rFonts w:ascii="Times New Roman" w:hAnsi="Times New Roman" w:cs="Times New Roman"/>
                <w:sz w:val="20"/>
                <w:szCs w:val="20"/>
              </w:rPr>
            </w:pPr>
          </w:p>
        </w:tc>
        <w:tc>
          <w:tcPr>
            <w:tcW w:w="8495" w:type="dxa"/>
            <w:gridSpan w:val="8"/>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Paired differences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vMerge w:val="continue"/>
          </w:tcPr>
          <w:p>
            <w:pPr>
              <w:tabs>
                <w:tab w:val="left" w:pos="2610"/>
              </w:tabs>
              <w:spacing w:after="0" w:line="480" w:lineRule="auto"/>
              <w:rPr>
                <w:rFonts w:ascii="Times New Roman" w:hAnsi="Times New Roman" w:cs="Times New Roman"/>
                <w:sz w:val="20"/>
                <w:szCs w:val="20"/>
              </w:rPr>
            </w:pPr>
          </w:p>
        </w:tc>
        <w:tc>
          <w:tcPr>
            <w:tcW w:w="1010" w:type="dxa"/>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 xml:space="preserve">Mean </w:t>
            </w:r>
          </w:p>
        </w:tc>
        <w:tc>
          <w:tcPr>
            <w:tcW w:w="1203" w:type="dxa"/>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Std. Deviation</w:t>
            </w:r>
          </w:p>
        </w:tc>
        <w:tc>
          <w:tcPr>
            <w:tcW w:w="891" w:type="dxa"/>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Std. Error Mean</w:t>
            </w:r>
          </w:p>
        </w:tc>
        <w:tc>
          <w:tcPr>
            <w:tcW w:w="2398" w:type="dxa"/>
            <w:gridSpan w:val="2"/>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 xml:space="preserve">95% confidence interval of the Difference </w:t>
            </w:r>
          </w:p>
        </w:tc>
        <w:tc>
          <w:tcPr>
            <w:tcW w:w="923" w:type="dxa"/>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t</w:t>
            </w:r>
          </w:p>
        </w:tc>
        <w:tc>
          <w:tcPr>
            <w:tcW w:w="540" w:type="dxa"/>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df</w:t>
            </w:r>
          </w:p>
        </w:tc>
        <w:tc>
          <w:tcPr>
            <w:tcW w:w="1530" w:type="dxa"/>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Sig.(2-tailed)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vMerge w:val="restart"/>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Pair 1</w:t>
            </w:r>
          </w:p>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Pretest &amp; post-test knowledge</w:t>
            </w:r>
          </w:p>
        </w:tc>
        <w:tc>
          <w:tcPr>
            <w:tcW w:w="1010" w:type="dxa"/>
            <w:vMerge w:val="restart"/>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-10.933</w:t>
            </w:r>
          </w:p>
        </w:tc>
        <w:tc>
          <w:tcPr>
            <w:tcW w:w="1203" w:type="dxa"/>
            <w:vMerge w:val="restart"/>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11.324</w:t>
            </w:r>
          </w:p>
        </w:tc>
        <w:tc>
          <w:tcPr>
            <w:tcW w:w="891" w:type="dxa"/>
            <w:vMerge w:val="restart"/>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1.462</w:t>
            </w:r>
          </w:p>
        </w:tc>
        <w:tc>
          <w:tcPr>
            <w:tcW w:w="1324" w:type="dxa"/>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lower</w:t>
            </w:r>
          </w:p>
        </w:tc>
        <w:tc>
          <w:tcPr>
            <w:tcW w:w="1074" w:type="dxa"/>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upper</w:t>
            </w:r>
          </w:p>
        </w:tc>
        <w:tc>
          <w:tcPr>
            <w:tcW w:w="923" w:type="dxa"/>
            <w:vMerge w:val="restart"/>
          </w:tcPr>
          <w:p>
            <w:pPr>
              <w:tabs>
                <w:tab w:val="left" w:pos="2610"/>
              </w:tabs>
              <w:spacing w:after="0" w:line="480" w:lineRule="auto"/>
              <w:rPr>
                <w:rFonts w:ascii="Times New Roman" w:hAnsi="Times New Roman" w:cs="Times New Roman"/>
                <w:sz w:val="20"/>
                <w:szCs w:val="20"/>
              </w:rPr>
            </w:pPr>
            <w:bookmarkStart w:id="228" w:name="_Hlk116423148"/>
            <w:r>
              <w:rPr>
                <w:rFonts w:ascii="Times New Roman" w:hAnsi="Times New Roman" w:cs="Times New Roman"/>
                <w:sz w:val="20"/>
                <w:szCs w:val="20"/>
              </w:rPr>
              <w:t>-7.479</w:t>
            </w:r>
            <w:bookmarkEnd w:id="228"/>
          </w:p>
        </w:tc>
        <w:tc>
          <w:tcPr>
            <w:tcW w:w="540" w:type="dxa"/>
            <w:vMerge w:val="restart"/>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59</w:t>
            </w:r>
          </w:p>
        </w:tc>
        <w:tc>
          <w:tcPr>
            <w:tcW w:w="1530" w:type="dxa"/>
            <w:vMerge w:val="restart"/>
          </w:tcPr>
          <w:p>
            <w:pPr>
              <w:tabs>
                <w:tab w:val="left" w:pos="2610"/>
              </w:tabs>
              <w:spacing w:after="0" w:line="480" w:lineRule="auto"/>
              <w:rPr>
                <w:rFonts w:ascii="Times New Roman" w:hAnsi="Times New Roman" w:cs="Times New Roman"/>
                <w:sz w:val="20"/>
                <w:szCs w:val="20"/>
              </w:rPr>
            </w:pPr>
            <w:r>
              <w:rPr>
                <w:rFonts w:ascii="Times New Roman" w:hAnsi="Times New Roman" w:cs="Times New Roman"/>
                <w:sz w:val="20"/>
                <w:szCs w:val="20"/>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vMerge w:val="continue"/>
          </w:tcPr>
          <w:p>
            <w:pPr>
              <w:tabs>
                <w:tab w:val="left" w:pos="2610"/>
              </w:tabs>
              <w:spacing w:after="0" w:line="480" w:lineRule="auto"/>
              <w:rPr>
                <w:rFonts w:ascii="Times New Roman" w:hAnsi="Times New Roman" w:cs="Times New Roman"/>
                <w:b/>
                <w:bCs/>
                <w:sz w:val="24"/>
                <w:szCs w:val="24"/>
              </w:rPr>
            </w:pPr>
          </w:p>
        </w:tc>
        <w:tc>
          <w:tcPr>
            <w:tcW w:w="1010" w:type="dxa"/>
            <w:vMerge w:val="continue"/>
          </w:tcPr>
          <w:p>
            <w:pPr>
              <w:tabs>
                <w:tab w:val="left" w:pos="2610"/>
              </w:tabs>
              <w:spacing w:after="0" w:line="480" w:lineRule="auto"/>
              <w:rPr>
                <w:rFonts w:ascii="Times New Roman" w:hAnsi="Times New Roman" w:cs="Times New Roman"/>
                <w:b/>
                <w:bCs/>
                <w:sz w:val="24"/>
                <w:szCs w:val="24"/>
              </w:rPr>
            </w:pPr>
          </w:p>
        </w:tc>
        <w:tc>
          <w:tcPr>
            <w:tcW w:w="1203" w:type="dxa"/>
            <w:vMerge w:val="continue"/>
          </w:tcPr>
          <w:p>
            <w:pPr>
              <w:tabs>
                <w:tab w:val="left" w:pos="2610"/>
              </w:tabs>
              <w:spacing w:after="0" w:line="480" w:lineRule="auto"/>
              <w:rPr>
                <w:rFonts w:ascii="Times New Roman" w:hAnsi="Times New Roman" w:cs="Times New Roman"/>
                <w:b/>
                <w:bCs/>
                <w:sz w:val="24"/>
                <w:szCs w:val="24"/>
              </w:rPr>
            </w:pPr>
          </w:p>
        </w:tc>
        <w:tc>
          <w:tcPr>
            <w:tcW w:w="891" w:type="dxa"/>
            <w:vMerge w:val="continue"/>
          </w:tcPr>
          <w:p>
            <w:pPr>
              <w:tabs>
                <w:tab w:val="left" w:pos="2610"/>
              </w:tabs>
              <w:spacing w:after="0" w:line="480" w:lineRule="auto"/>
              <w:rPr>
                <w:rFonts w:ascii="Times New Roman" w:hAnsi="Times New Roman" w:cs="Times New Roman"/>
                <w:b/>
                <w:bCs/>
                <w:sz w:val="24"/>
                <w:szCs w:val="24"/>
              </w:rPr>
            </w:pPr>
          </w:p>
        </w:tc>
        <w:tc>
          <w:tcPr>
            <w:tcW w:w="1324"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-13.859</w:t>
            </w:r>
          </w:p>
        </w:tc>
        <w:tc>
          <w:tcPr>
            <w:tcW w:w="1074" w:type="dxa"/>
          </w:tcPr>
          <w:p>
            <w:pPr>
              <w:tabs>
                <w:tab w:val="left" w:pos="2610"/>
              </w:tabs>
              <w:spacing w:after="0" w:line="480" w:lineRule="auto"/>
              <w:rPr>
                <w:rFonts w:ascii="Times New Roman" w:hAnsi="Times New Roman" w:cs="Times New Roman"/>
                <w:sz w:val="24"/>
                <w:szCs w:val="24"/>
              </w:rPr>
            </w:pPr>
            <w:r>
              <w:rPr>
                <w:rFonts w:ascii="Times New Roman" w:hAnsi="Times New Roman" w:cs="Times New Roman"/>
                <w:sz w:val="24"/>
                <w:szCs w:val="24"/>
              </w:rPr>
              <w:t>-8.008</w:t>
            </w:r>
          </w:p>
        </w:tc>
        <w:tc>
          <w:tcPr>
            <w:tcW w:w="923" w:type="dxa"/>
            <w:vMerge w:val="continue"/>
          </w:tcPr>
          <w:p>
            <w:pPr>
              <w:tabs>
                <w:tab w:val="left" w:pos="2610"/>
              </w:tabs>
              <w:spacing w:after="0" w:line="480" w:lineRule="auto"/>
              <w:rPr>
                <w:rFonts w:ascii="Times New Roman" w:hAnsi="Times New Roman" w:cs="Times New Roman"/>
                <w:b/>
                <w:bCs/>
                <w:sz w:val="24"/>
                <w:szCs w:val="24"/>
              </w:rPr>
            </w:pPr>
          </w:p>
        </w:tc>
        <w:tc>
          <w:tcPr>
            <w:tcW w:w="540" w:type="dxa"/>
            <w:vMerge w:val="continue"/>
          </w:tcPr>
          <w:p>
            <w:pPr>
              <w:tabs>
                <w:tab w:val="left" w:pos="2610"/>
              </w:tabs>
              <w:spacing w:after="0" w:line="480" w:lineRule="auto"/>
              <w:rPr>
                <w:rFonts w:ascii="Times New Roman" w:hAnsi="Times New Roman" w:cs="Times New Roman"/>
                <w:b/>
                <w:bCs/>
                <w:sz w:val="24"/>
                <w:szCs w:val="24"/>
              </w:rPr>
            </w:pPr>
          </w:p>
        </w:tc>
        <w:tc>
          <w:tcPr>
            <w:tcW w:w="1530" w:type="dxa"/>
            <w:vMerge w:val="continue"/>
          </w:tcPr>
          <w:p>
            <w:pPr>
              <w:tabs>
                <w:tab w:val="left" w:pos="2610"/>
              </w:tabs>
              <w:spacing w:after="0" w:line="480" w:lineRule="auto"/>
              <w:rPr>
                <w:rFonts w:ascii="Times New Roman" w:hAnsi="Times New Roman" w:cs="Times New Roman"/>
                <w:b/>
                <w:bCs/>
                <w:sz w:val="24"/>
                <w:szCs w:val="24"/>
              </w:rPr>
            </w:pPr>
          </w:p>
        </w:tc>
      </w:tr>
    </w:tbl>
    <w:p>
      <w:pPr>
        <w:tabs>
          <w:tab w:val="left" w:pos="2610"/>
        </w:tabs>
        <w:spacing w:line="480" w:lineRule="auto"/>
        <w:ind w:firstLine="720"/>
        <w:rPr>
          <w:rFonts w:ascii="Times New Roman" w:hAnsi="Times New Roman" w:cs="Times New Roman"/>
          <w:b/>
          <w:bCs/>
          <w:sz w:val="24"/>
          <w:szCs w:val="24"/>
        </w:rPr>
      </w:pPr>
    </w:p>
    <w:p>
      <w:pPr>
        <w:tabs>
          <w:tab w:val="left" w:pos="2610"/>
        </w:tabs>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Table 13 shows that after conducting a paired t-test to compare the pretest and post-test attitude totals a statistically significant difference was noticed in postoperative pain management. The pretest attitude (M = 60.72, SD=7.095) and the posttest (M=71.65.SD= 7.688), t =-7.479, dt= 59, p=.000.  The results suggest that the teaching intervention improved the nurse’s attitude towards post-operative pain management.</w:t>
      </w:r>
    </w:p>
    <w:p>
      <w:pPr>
        <w:keepNext/>
        <w:keepLines/>
        <w:spacing w:before="40" w:after="0" w:line="480" w:lineRule="auto"/>
        <w:outlineLvl w:val="1"/>
        <w:rPr>
          <w:rFonts w:ascii="Times New Roman" w:hAnsi="Times New Roman" w:cs="Times New Roman" w:eastAsiaTheme="majorEastAsia"/>
          <w:b/>
          <w:color w:val="000000" w:themeColor="text1"/>
          <w:sz w:val="24"/>
          <w:szCs w:val="24"/>
          <w14:textFill>
            <w14:solidFill>
              <w14:schemeClr w14:val="tx1"/>
            </w14:solidFill>
          </w14:textFill>
        </w:rPr>
      </w:pPr>
      <w:r>
        <w:rPr>
          <w:rFonts w:ascii="Times New Roman" w:hAnsi="Times New Roman" w:cs="Times New Roman" w:eastAsiaTheme="majorEastAsia"/>
          <w:b/>
          <w:color w:val="000000" w:themeColor="text1"/>
          <w:sz w:val="24"/>
          <w:szCs w:val="24"/>
          <w14:textFill>
            <w14:solidFill>
              <w14:schemeClr w14:val="tx1"/>
            </w14:solidFill>
          </w14:textFill>
        </w:rPr>
        <w:t>The Practice towards Post Operative Pain Management.</w:t>
      </w:r>
    </w:p>
    <w:p>
      <w:pPr>
        <w:pStyle w:val="9"/>
        <w:tabs>
          <w:tab w:val="left" w:pos="2610"/>
        </w:tabs>
        <w:spacing w:line="480" w:lineRule="auto"/>
        <w:ind w:firstLine="720"/>
        <w:jc w:val="both"/>
      </w:pPr>
      <w:r>
        <w:rPr>
          <w:rFonts w:ascii="Times New Roman" w:hAnsi="Times New Roman" w:cs="Times New Roman"/>
          <w:i w:val="0"/>
          <w:iCs w:val="0"/>
          <w:color w:val="auto"/>
          <w:sz w:val="24"/>
          <w:szCs w:val="24"/>
        </w:rPr>
        <w:t xml:space="preserve">The respondents were pre-intervention assessed on the surgical ward's post-operative pain management practice using a checklist.  The researcher was interested in learning if they were measuring post-operative discomfort and, if so, how. The research used a 14-item structured questionnaire to evaluate the practice prior to the educational intervention. </w:t>
      </w:r>
      <w:r>
        <w:rPr>
          <w:rFonts w:ascii="Times New Roman" w:hAnsi="Times New Roman" w:cs="Times New Roman"/>
          <w:bCs/>
          <w:i w:val="0"/>
          <w:iCs w:val="0"/>
          <w:color w:val="auto"/>
          <w:sz w:val="24"/>
          <w:szCs w:val="24"/>
        </w:rPr>
        <w:t xml:space="preserve">The questions were worded so that the researcher may respond by checking the appropriate box when something was done or not done. The words "done" and "not done" indicated whether something had been completed correctly or not. Table 14 displays the results. </w:t>
      </w:r>
    </w:p>
    <w:p/>
    <w:p/>
    <w:p/>
    <w:p/>
    <w:p/>
    <w:p/>
    <w:p/>
    <w:p/>
    <w:p/>
    <w:p/>
    <w:p/>
    <w:p>
      <w:pPr>
        <w:pStyle w:val="9"/>
        <w:keepNext/>
        <w:rPr>
          <w:rFonts w:ascii="Times New Roman" w:hAnsi="Times New Roman" w:cs="Times New Roman"/>
          <w:sz w:val="22"/>
          <w:szCs w:val="22"/>
        </w:rPr>
      </w:pPr>
      <w:bookmarkStart w:id="229" w:name="_Hlk143205181"/>
      <w:r>
        <w:rPr>
          <w:rFonts w:ascii="Times New Roman" w:hAnsi="Times New Roman" w:cs="Times New Roman"/>
          <w:sz w:val="22"/>
          <w:szCs w:val="22"/>
        </w:rPr>
        <w:t>Table 14: Pretest regarding post operative pain management practice.</w:t>
      </w:r>
    </w:p>
    <w:tbl>
      <w:tblPr>
        <w:tblStyle w:val="19"/>
        <w:tblW w:w="91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15"/>
        <w:gridCol w:w="1006"/>
        <w:gridCol w:w="11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autoSpaceDE w:val="0"/>
              <w:autoSpaceDN w:val="0"/>
              <w:adjustRightInd w:val="0"/>
              <w:spacing w:after="0" w:line="360" w:lineRule="auto"/>
              <w:rPr>
                <w:rFonts w:ascii="Times New Roman" w:hAnsi="Times New Roman" w:eastAsia="Times New Roman" w:cs="Times New Roman"/>
                <w:color w:val="000000"/>
                <w:sz w:val="20"/>
                <w:szCs w:val="20"/>
              </w:rPr>
            </w:pPr>
            <w:r>
              <w:rPr>
                <w:rFonts w:ascii="Times New Roman" w:hAnsi="Times New Roman" w:eastAsia="Times New Roman" w:cs="Times New Roman"/>
                <w:color w:val="000000"/>
                <w:sz w:val="20"/>
                <w:szCs w:val="20"/>
              </w:rPr>
              <w:t xml:space="preserve">Activities during pain assessment and management </w:t>
            </w:r>
          </w:p>
        </w:tc>
        <w:tc>
          <w:tcPr>
            <w:tcW w:w="1006" w:type="dxa"/>
          </w:tcPr>
          <w:p>
            <w:pPr>
              <w:autoSpaceDE w:val="0"/>
              <w:autoSpaceDN w:val="0"/>
              <w:adjustRightInd w:val="0"/>
              <w:spacing w:after="0" w:line="360" w:lineRule="auto"/>
              <w:rPr>
                <w:rFonts w:ascii="Times New Roman" w:hAnsi="Times New Roman" w:eastAsia="MS Mincho" w:cs="Times New Roman"/>
                <w:sz w:val="20"/>
                <w:szCs w:val="20"/>
              </w:rPr>
            </w:pPr>
            <w:r>
              <w:rPr>
                <w:rFonts w:ascii="Times New Roman" w:hAnsi="Times New Roman" w:eastAsia="MS Mincho" w:cs="Times New Roman"/>
                <w:sz w:val="20"/>
                <w:szCs w:val="20"/>
              </w:rPr>
              <w:t>f</w:t>
            </w:r>
          </w:p>
        </w:tc>
        <w:tc>
          <w:tcPr>
            <w:tcW w:w="1154" w:type="dxa"/>
          </w:tcPr>
          <w:p>
            <w:pPr>
              <w:autoSpaceDE w:val="0"/>
              <w:autoSpaceDN w:val="0"/>
              <w:adjustRightInd w:val="0"/>
              <w:spacing w:after="0" w:line="360" w:lineRule="auto"/>
              <w:rPr>
                <w:rFonts w:ascii="Times New Roman" w:hAnsi="Times New Roman" w:eastAsia="MS Mincho" w:cs="Times New Roman"/>
                <w:sz w:val="20"/>
                <w:szCs w:val="20"/>
              </w:rPr>
            </w:pPr>
            <w:r>
              <w:rPr>
                <w:rFonts w:ascii="Times New Roman" w:hAnsi="Times New Roman" w:eastAsia="MS Mincho" w:cs="Times New Roman"/>
                <w:sz w:val="20"/>
                <w:szCs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Provides direct nursing care to POP patients.</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 xml:space="preserve">Not done </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25</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35</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41.6</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trPr>
        <w:tc>
          <w:tcPr>
            <w:tcW w:w="7015" w:type="dxa"/>
          </w:tcPr>
          <w:p>
            <w:pPr>
              <w:numPr>
                <w:ilvl w:val="0"/>
                <w:numId w:val="11"/>
              </w:numPr>
              <w:autoSpaceDE w:val="0"/>
              <w:autoSpaceDN w:val="0"/>
              <w:adjustRightInd w:val="0"/>
              <w:spacing w:after="0" w:line="240" w:lineRule="auto"/>
              <w:contextualSpacing/>
              <w:rPr>
                <w:rFonts w:ascii="Times New Roman" w:hAnsi="Times New Roman" w:eastAsia="MS Mincho" w:cs="Times New Roman"/>
                <w:sz w:val="20"/>
                <w:szCs w:val="20"/>
                <w:lang w:eastAsia="ja-JP"/>
              </w:rPr>
            </w:pPr>
            <w:bookmarkStart w:id="230" w:name="_Hlk143809314"/>
            <w:bookmarkStart w:id="231" w:name="_Hlk143203137"/>
            <w:r>
              <w:rPr>
                <w:rFonts w:ascii="Times New Roman" w:hAnsi="Times New Roman" w:eastAsia="Times New Roman" w:cs="Times New Roman"/>
                <w:color w:val="000000"/>
                <w:sz w:val="20"/>
                <w:szCs w:val="20"/>
                <w:lang w:eastAsia="ja-JP"/>
              </w:rPr>
              <w:t>Assesses for pain intensity for patient who couldn’t  communicate</w:t>
            </w:r>
            <w:bookmarkEnd w:id="230"/>
            <w:r>
              <w:rPr>
                <w:rFonts w:ascii="Times New Roman" w:hAnsi="Times New Roman" w:eastAsia="Times New Roman" w:cs="Times New Roman"/>
                <w:color w:val="000000"/>
                <w:sz w:val="20"/>
                <w:szCs w:val="20"/>
                <w:lang w:eastAsia="ja-JP"/>
              </w:rPr>
              <w:t>.</w:t>
            </w:r>
          </w:p>
          <w:bookmarkEnd w:id="231"/>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Assesses pain using the PQRST.</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Not don</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Assesses pain using a pain assessment tool.</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Clearly documents pain assessment findings using a numeric rating scale.</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Explains clearly to ensure the patient understands the pain levels on the scale.</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MS Mincho" w:cs="Times New Roman"/>
                <w:sz w:val="20"/>
                <w:szCs w:val="20"/>
                <w:lang w:eastAsia="ja-JP"/>
              </w:rPr>
            </w:pPr>
            <w:r>
              <w:rPr>
                <w:rFonts w:ascii="Times New Roman" w:hAnsi="Times New Roman" w:eastAsia="MS Mincho" w:cs="Times New Roman"/>
                <w:sz w:val="20"/>
                <w:szCs w:val="20"/>
                <w:lang w:eastAsia="ja-JP"/>
              </w:rPr>
              <w:t>Communicates findings with the relevant authority.</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Not don</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Agrees with patients’ statements about their pain.</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Not don</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18</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42</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Probes to validate patients’ statements about their pain.</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MS Mincho" w:cs="Times New Roman"/>
                <w:sz w:val="20"/>
                <w:szCs w:val="20"/>
                <w:lang w:eastAsia="ja-JP"/>
              </w:rPr>
            </w:pPr>
            <w:r>
              <w:rPr>
                <w:rFonts w:ascii="Times New Roman" w:hAnsi="Times New Roman" w:eastAsia="Times New Roman" w:cs="Times New Roman"/>
                <w:color w:val="000000"/>
                <w:sz w:val="20"/>
                <w:szCs w:val="20"/>
                <w:lang w:eastAsia="ja-JP"/>
              </w:rPr>
              <w:t>Not don</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Educates patient about pain management strategies (list for each checklist)</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Reassesses pain level after intervention.</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Not don3</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07</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53</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11.7</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88.3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Involves patient and family in pain assessment plan.</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Not don</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19</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31</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48.4</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numPr>
                <w:ilvl w:val="0"/>
                <w:numId w:val="11"/>
              </w:numPr>
              <w:autoSpaceDE w:val="0"/>
              <w:autoSpaceDN w:val="0"/>
              <w:adjustRightInd w:val="0"/>
              <w:spacing w:after="0" w:line="240" w:lineRule="auto"/>
              <w:contextualSpacing/>
              <w:rPr>
                <w:rFonts w:ascii="Times New Roman" w:hAnsi="Times New Roman" w:eastAsia="Times New Roman" w:cs="Times New Roman"/>
                <w:color w:val="000000"/>
                <w:sz w:val="20"/>
                <w:szCs w:val="20"/>
                <w:lang w:eastAsia="ja-JP"/>
              </w:rPr>
            </w:pPr>
            <w:bookmarkStart w:id="232" w:name="_Hlk143203696"/>
            <w:r>
              <w:rPr>
                <w:rFonts w:ascii="Times New Roman" w:hAnsi="Times New Roman" w:eastAsia="Times New Roman" w:cs="Times New Roman"/>
                <w:color w:val="000000"/>
                <w:sz w:val="20"/>
                <w:szCs w:val="20"/>
                <w:lang w:eastAsia="ja-JP"/>
              </w:rPr>
              <w:t>Documents treatment modality for pain</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bookmarkEnd w:id="232"/>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Not don</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1"/>
              </w:numPr>
              <w:rPr>
                <w:rFonts w:eastAsia="Times New Roman"/>
                <w:color w:val="000000"/>
                <w:sz w:val="20"/>
                <w:szCs w:val="20"/>
              </w:rPr>
            </w:pPr>
            <w:r>
              <w:rPr>
                <w:rFonts w:eastAsia="Times New Roman"/>
                <w:color w:val="000000"/>
                <w:sz w:val="20"/>
                <w:szCs w:val="20"/>
              </w:rPr>
              <w:t xml:space="preserve">Impact of pain on functionality is documented. </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 xml:space="preserve">Done </w:t>
            </w:r>
          </w:p>
          <w:p>
            <w:pPr>
              <w:autoSpaceDE w:val="0"/>
              <w:autoSpaceDN w:val="0"/>
              <w:adjustRightInd w:val="0"/>
              <w:spacing w:after="0" w:line="240" w:lineRule="auto"/>
              <w:ind w:left="360"/>
              <w:contextualSpacing/>
              <w:rPr>
                <w:rFonts w:ascii="Times New Roman" w:hAnsi="Times New Roman" w:eastAsia="Times New Roman" w:cs="Times New Roman"/>
                <w:color w:val="000000"/>
                <w:sz w:val="20"/>
                <w:szCs w:val="20"/>
                <w:lang w:eastAsia="ja-JP"/>
              </w:rPr>
            </w:pPr>
            <w:r>
              <w:rPr>
                <w:rFonts w:ascii="Times New Roman" w:hAnsi="Times New Roman" w:eastAsia="Times New Roman" w:cs="Times New Roman"/>
                <w:color w:val="000000"/>
                <w:sz w:val="20"/>
                <w:szCs w:val="20"/>
                <w:lang w:eastAsia="ja-JP"/>
              </w:rPr>
              <w:t>Not done</w:t>
            </w:r>
          </w:p>
        </w:tc>
        <w:tc>
          <w:tcPr>
            <w:tcW w:w="1006" w:type="dxa"/>
          </w:tcPr>
          <w:p>
            <w:pPr>
              <w:autoSpaceDE w:val="0"/>
              <w:autoSpaceDN w:val="0"/>
              <w:adjustRightInd w:val="0"/>
              <w:spacing w:after="0" w:line="240" w:lineRule="auto"/>
              <w:rPr>
                <w:rFonts w:ascii="Times New Roman" w:hAnsi="Times New Roman" w:eastAsia="MS Mincho" w:cs="Times New Roman"/>
                <w:sz w:val="20"/>
                <w:szCs w:val="20"/>
              </w:rPr>
            </w:pPr>
          </w:p>
          <w:p>
            <w:pPr>
              <w:autoSpaceDE w:val="0"/>
              <w:autoSpaceDN w:val="0"/>
              <w:adjustRightInd w:val="0"/>
              <w:spacing w:after="0" w:line="240" w:lineRule="auto"/>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rPr>
                <w:rFonts w:ascii="Times New Roman" w:hAnsi="Times New Roman" w:eastAsia="MS Mincho" w:cs="Times New Roman"/>
                <w:sz w:val="20"/>
                <w:szCs w:val="20"/>
              </w:rPr>
            </w:pPr>
            <w:r>
              <w:rPr>
                <w:rFonts w:ascii="Times New Roman" w:hAnsi="Times New Roman" w:eastAsia="MS Mincho" w:cs="Times New Roman"/>
                <w:sz w:val="20"/>
                <w:szCs w:val="20"/>
              </w:rPr>
              <w:t>60</w:t>
            </w:r>
          </w:p>
        </w:tc>
        <w:tc>
          <w:tcPr>
            <w:tcW w:w="1154" w:type="dxa"/>
          </w:tcPr>
          <w:p>
            <w:pPr>
              <w:autoSpaceDE w:val="0"/>
              <w:autoSpaceDN w:val="0"/>
              <w:adjustRightInd w:val="0"/>
              <w:spacing w:after="0" w:line="240" w:lineRule="auto"/>
              <w:rPr>
                <w:rFonts w:ascii="Times New Roman" w:hAnsi="Times New Roman" w:eastAsia="MS Mincho" w:cs="Times New Roman"/>
                <w:sz w:val="20"/>
                <w:szCs w:val="20"/>
              </w:rPr>
            </w:pPr>
          </w:p>
          <w:p>
            <w:pPr>
              <w:autoSpaceDE w:val="0"/>
              <w:autoSpaceDN w:val="0"/>
              <w:adjustRightInd w:val="0"/>
              <w:spacing w:after="0" w:line="240" w:lineRule="auto"/>
              <w:rPr>
                <w:rFonts w:ascii="Times New Roman" w:hAnsi="Times New Roman" w:eastAsia="MS Mincho" w:cs="Times New Roman"/>
                <w:sz w:val="20"/>
                <w:szCs w:val="20"/>
              </w:rPr>
            </w:pPr>
            <w:r>
              <w:rPr>
                <w:rFonts w:ascii="Times New Roman" w:hAnsi="Times New Roman" w:eastAsia="MS Mincho" w:cs="Times New Roman"/>
                <w:sz w:val="20"/>
                <w:szCs w:val="20"/>
              </w:rPr>
              <w:t>0</w:t>
            </w:r>
          </w:p>
          <w:p>
            <w:pPr>
              <w:autoSpaceDE w:val="0"/>
              <w:autoSpaceDN w:val="0"/>
              <w:adjustRightInd w:val="0"/>
              <w:spacing w:after="0" w:line="240" w:lineRule="auto"/>
              <w:rPr>
                <w:rFonts w:ascii="Times New Roman" w:hAnsi="Times New Roman" w:eastAsia="MS Mincho" w:cs="Times New Roman"/>
                <w:sz w:val="20"/>
                <w:szCs w:val="20"/>
              </w:rPr>
            </w:pPr>
            <w:r>
              <w:rPr>
                <w:rFonts w:ascii="Times New Roman" w:hAnsi="Times New Roman" w:eastAsia="MS Mincho" w:cs="Times New Roman"/>
                <w:sz w:val="20"/>
                <w:szCs w:val="20"/>
              </w:rPr>
              <w:t>100</w:t>
            </w:r>
          </w:p>
        </w:tc>
      </w:tr>
      <w:bookmarkEnd w:id="143"/>
      <w:bookmarkEnd w:id="229"/>
    </w:tbl>
    <w:p>
      <w:pPr>
        <w:rPr>
          <w:rFonts w:ascii="Times New Roman" w:hAnsi="Times New Roman" w:cs="Times New Roman"/>
          <w:sz w:val="24"/>
          <w:szCs w:val="24"/>
        </w:rPr>
      </w:pPr>
      <w:bookmarkStart w:id="233" w:name="_Toc120852264"/>
    </w:p>
    <w:p>
      <w:pPr>
        <w:autoSpaceDE w:val="0"/>
        <w:autoSpaceDN w:val="0"/>
        <w:adjustRightInd w:val="0"/>
        <w:spacing w:after="0" w:line="480" w:lineRule="auto"/>
        <w:ind w:firstLine="720"/>
        <w:contextualSpacing/>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majority of responders, as shown in Table 14, did not rate the postoperative pain for the patients on the surgical wards as evidenced in the patient’s case books. For instance, the responders were unable to</w:t>
      </w:r>
      <w:r>
        <w:rPr>
          <w:rFonts w:ascii="Times New Roman" w:hAnsi="Times New Roman" w:eastAsia="Times New Roman" w:cs="Times New Roman"/>
          <w:color w:val="000000"/>
          <w:sz w:val="24"/>
          <w:szCs w:val="24"/>
          <w:lang w:eastAsia="ja-JP"/>
        </w:rPr>
        <w:t xml:space="preserve"> assess pain intensity for patients who couldn’t communicate.</w:t>
      </w:r>
    </w:p>
    <w:p>
      <w:pPr>
        <w:autoSpaceDE w:val="0"/>
        <w:autoSpaceDN w:val="0"/>
        <w:adjustRightInd w:val="0"/>
        <w:spacing w:after="0" w:line="480" w:lineRule="auto"/>
        <w:ind w:firstLine="720"/>
        <w:contextualSpacing/>
        <w:rPr>
          <w:rFonts w:ascii="Times New Roman" w:hAnsi="Times New Roman" w:cs="Times New Roman"/>
          <w:sz w:val="24"/>
          <w:szCs w:val="24"/>
        </w:rPr>
      </w:pPr>
      <w:bookmarkStart w:id="234" w:name="_Hlk143810517"/>
      <w:bookmarkStart w:id="235" w:name="_Toc142753430"/>
      <w:bookmarkStart w:id="236" w:name="_Toc134604190"/>
      <w:r>
        <w:rPr>
          <w:rFonts w:ascii="Times New Roman" w:hAnsi="Times New Roman" w:eastAsia="Times New Roman" w:cs="Times New Roman"/>
          <w:color w:val="000000"/>
          <w:sz w:val="24"/>
          <w:szCs w:val="24"/>
          <w:lang w:eastAsia="ja-JP"/>
        </w:rPr>
        <w:t xml:space="preserve">None of them informed the appropriate authority of their findings because they failed to consider postoperative discomfort. Similarly, none of the respondents provided the patient with information on pain management techniques. </w:t>
      </w:r>
      <w:bookmarkEnd w:id="234"/>
      <w:r>
        <w:rPr>
          <w:rFonts w:ascii="Times New Roman" w:hAnsi="Times New Roman" w:eastAsia="Times New Roman" w:cs="Times New Roman"/>
          <w:color w:val="000000"/>
          <w:sz w:val="24"/>
          <w:szCs w:val="24"/>
          <w:lang w:eastAsia="ja-JP"/>
        </w:rPr>
        <w:t>In line, none of the patients’ case book had the treatment modality for pain documented. More troublingly, 70% of the respondents did not agree with the patients about their post operative pain. It was revealed that only 11.7% of the respondents assessed for the pain intensity after administering a pain killer.</w:t>
      </w:r>
    </w:p>
    <w:p>
      <w:pPr>
        <w:autoSpaceDE w:val="0"/>
        <w:autoSpaceDN w:val="0"/>
        <w:adjustRightInd w:val="0"/>
        <w:spacing w:after="0" w:line="480" w:lineRule="auto"/>
        <w:contextualSpacing/>
        <w:rPr>
          <w:rFonts w:ascii="Times New Roman" w:hAnsi="Times New Roman" w:cs="Times New Roman"/>
          <w:b/>
          <w:bCs/>
          <w:sz w:val="24"/>
          <w:szCs w:val="24"/>
        </w:rPr>
      </w:pPr>
      <w:r>
        <w:rPr>
          <w:rFonts w:ascii="Times New Roman" w:hAnsi="Times New Roman" w:cs="Times New Roman"/>
          <w:b/>
          <w:bCs/>
          <w:sz w:val="24"/>
          <w:szCs w:val="24"/>
        </w:rPr>
        <w:t>The Effect of Integrating the Pain Assessment Scale on the Nurse’s Practice towards Post Operative Pain Management (posttest).</w:t>
      </w:r>
    </w:p>
    <w:p>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researcher used an observation checklist to conduct a post evaluation test following the implementation of the educational intervention of incorporating the pain assessment scale into nurses' practice to ascertain its impact on the practice of post-operative pain management. The results are shown in Table 15.</w:t>
      </w:r>
    </w:p>
    <w:p>
      <w:pPr>
        <w:spacing w:line="480" w:lineRule="auto"/>
        <w:ind w:firstLine="720"/>
        <w:rPr>
          <w:rFonts w:ascii="Times New Roman" w:hAnsi="Times New Roman" w:cs="Times New Roman"/>
          <w:sz w:val="24"/>
          <w:szCs w:val="24"/>
        </w:rPr>
      </w:pPr>
    </w:p>
    <w:p>
      <w:pPr>
        <w:spacing w:line="480" w:lineRule="auto"/>
        <w:ind w:firstLine="720"/>
        <w:rPr>
          <w:rFonts w:ascii="Times New Roman" w:hAnsi="Times New Roman" w:cs="Times New Roman"/>
          <w:sz w:val="24"/>
          <w:szCs w:val="24"/>
        </w:rPr>
      </w:pPr>
    </w:p>
    <w:p>
      <w:pPr>
        <w:spacing w:line="480" w:lineRule="auto"/>
        <w:ind w:firstLine="720"/>
        <w:rPr>
          <w:rFonts w:ascii="Times New Roman" w:hAnsi="Times New Roman" w:cs="Times New Roman"/>
          <w:sz w:val="24"/>
          <w:szCs w:val="24"/>
        </w:rPr>
      </w:pPr>
    </w:p>
    <w:p>
      <w:pPr>
        <w:spacing w:line="480" w:lineRule="auto"/>
        <w:ind w:firstLine="720"/>
        <w:rPr>
          <w:rFonts w:ascii="Times New Roman" w:hAnsi="Times New Roman" w:cs="Times New Roman"/>
          <w:sz w:val="24"/>
          <w:szCs w:val="24"/>
        </w:rPr>
      </w:pPr>
    </w:p>
    <w:p>
      <w:pPr>
        <w:spacing w:line="480" w:lineRule="auto"/>
        <w:ind w:firstLine="720"/>
        <w:rPr>
          <w:rFonts w:ascii="Times New Roman" w:hAnsi="Times New Roman" w:cs="Times New Roman"/>
          <w:sz w:val="24"/>
          <w:szCs w:val="24"/>
        </w:rPr>
      </w:pPr>
    </w:p>
    <w:p>
      <w:pPr>
        <w:spacing w:line="480" w:lineRule="auto"/>
        <w:ind w:firstLine="720"/>
        <w:rPr>
          <w:rFonts w:ascii="Times New Roman" w:hAnsi="Times New Roman" w:cs="Times New Roman"/>
          <w:sz w:val="24"/>
          <w:szCs w:val="24"/>
        </w:rPr>
      </w:pPr>
    </w:p>
    <w:p>
      <w:pPr>
        <w:spacing w:line="480" w:lineRule="auto"/>
        <w:ind w:firstLine="720"/>
        <w:rPr>
          <w:rFonts w:ascii="Times New Roman" w:hAnsi="Times New Roman" w:cs="Times New Roman"/>
          <w:sz w:val="24"/>
          <w:szCs w:val="24"/>
        </w:rPr>
      </w:pPr>
    </w:p>
    <w:p>
      <w:pPr>
        <w:spacing w:line="480" w:lineRule="auto"/>
        <w:ind w:firstLine="720"/>
        <w:rPr>
          <w:rFonts w:ascii="Times New Roman" w:hAnsi="Times New Roman" w:cs="Times New Roman"/>
          <w:sz w:val="24"/>
          <w:szCs w:val="24"/>
        </w:rPr>
      </w:pPr>
    </w:p>
    <w:p>
      <w:pPr>
        <w:pStyle w:val="9"/>
        <w:keepNext/>
        <w:rPr>
          <w:rFonts w:ascii="Times New Roman" w:hAnsi="Times New Roman" w:cs="Times New Roman"/>
          <w:sz w:val="24"/>
          <w:szCs w:val="24"/>
        </w:rPr>
      </w:pPr>
      <w:r>
        <w:rPr>
          <w:rFonts w:ascii="Times New Roman" w:hAnsi="Times New Roman" w:cs="Times New Roman"/>
          <w:sz w:val="24"/>
          <w:szCs w:val="24"/>
        </w:rPr>
        <w:t>Table 15: Post evaluation regarding post operative pain management practice.</w:t>
      </w:r>
    </w:p>
    <w:tbl>
      <w:tblPr>
        <w:tblStyle w:val="19"/>
        <w:tblW w:w="91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15"/>
        <w:gridCol w:w="1006"/>
        <w:gridCol w:w="11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autoSpaceDE w:val="0"/>
              <w:autoSpaceDN w:val="0"/>
              <w:adjustRightInd w:val="0"/>
              <w:spacing w:after="0" w:line="360" w:lineRule="auto"/>
              <w:rPr>
                <w:rFonts w:ascii="Times New Roman" w:hAnsi="Times New Roman" w:eastAsia="Times New Roman" w:cs="Times New Roman"/>
                <w:b/>
                <w:bCs/>
                <w:color w:val="000000"/>
                <w:sz w:val="20"/>
                <w:szCs w:val="20"/>
              </w:rPr>
            </w:pPr>
            <w:r>
              <w:rPr>
                <w:rFonts w:ascii="Times New Roman" w:hAnsi="Times New Roman" w:eastAsia="Times New Roman" w:cs="Times New Roman"/>
                <w:b/>
                <w:bCs/>
                <w:color w:val="000000"/>
                <w:sz w:val="20"/>
                <w:szCs w:val="20"/>
              </w:rPr>
              <w:t xml:space="preserve">Activities during pain assessment and management </w:t>
            </w:r>
          </w:p>
        </w:tc>
        <w:tc>
          <w:tcPr>
            <w:tcW w:w="1006" w:type="dxa"/>
          </w:tcPr>
          <w:p>
            <w:pPr>
              <w:autoSpaceDE w:val="0"/>
              <w:autoSpaceDN w:val="0"/>
              <w:adjustRightInd w:val="0"/>
              <w:spacing w:after="0" w:line="360" w:lineRule="auto"/>
              <w:rPr>
                <w:rFonts w:ascii="Times New Roman" w:hAnsi="Times New Roman" w:eastAsia="MS Mincho" w:cs="Times New Roman"/>
                <w:sz w:val="20"/>
                <w:szCs w:val="20"/>
              </w:rPr>
            </w:pPr>
            <w:r>
              <w:rPr>
                <w:rFonts w:ascii="Times New Roman" w:hAnsi="Times New Roman" w:eastAsia="MS Mincho" w:cs="Times New Roman"/>
                <w:sz w:val="20"/>
                <w:szCs w:val="20"/>
              </w:rPr>
              <w:t>f</w:t>
            </w:r>
          </w:p>
        </w:tc>
        <w:tc>
          <w:tcPr>
            <w:tcW w:w="1154" w:type="dxa"/>
          </w:tcPr>
          <w:p>
            <w:pPr>
              <w:autoSpaceDE w:val="0"/>
              <w:autoSpaceDN w:val="0"/>
              <w:adjustRightInd w:val="0"/>
              <w:spacing w:after="0" w:line="360" w:lineRule="auto"/>
              <w:rPr>
                <w:rFonts w:ascii="Times New Roman" w:hAnsi="Times New Roman" w:eastAsia="MS Mincho" w:cs="Times New Roman"/>
                <w:sz w:val="20"/>
                <w:szCs w:val="20"/>
              </w:rPr>
            </w:pPr>
            <w:r>
              <w:rPr>
                <w:rFonts w:ascii="Times New Roman" w:hAnsi="Times New Roman" w:eastAsia="MS Mincho" w:cs="Times New Roman"/>
                <w:sz w:val="20"/>
                <w:szCs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sz w:val="20"/>
                <w:szCs w:val="20"/>
              </w:rPr>
            </w:pPr>
            <w:r>
              <w:rPr>
                <w:rFonts w:eastAsia="Times New Roman"/>
                <w:color w:val="000000"/>
                <w:sz w:val="20"/>
                <w:szCs w:val="20"/>
              </w:rPr>
              <w:t>Provides direct nursing care to POP patients.</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sz w:val="20"/>
                <w:szCs w:val="20"/>
              </w:rPr>
            </w:pPr>
            <w:r>
              <w:rPr>
                <w:rFonts w:eastAsia="Times New Roman"/>
                <w:color w:val="000000"/>
                <w:sz w:val="20"/>
                <w:szCs w:val="20"/>
              </w:rPr>
              <w:t xml:space="preserve">Not done </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45</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15</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75</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trPr>
        <w:tc>
          <w:tcPr>
            <w:tcW w:w="7015" w:type="dxa"/>
          </w:tcPr>
          <w:p>
            <w:pPr>
              <w:pStyle w:val="24"/>
              <w:numPr>
                <w:ilvl w:val="0"/>
                <w:numId w:val="12"/>
              </w:numPr>
              <w:autoSpaceDE w:val="0"/>
              <w:autoSpaceDN w:val="0"/>
              <w:adjustRightInd w:val="0"/>
              <w:rPr>
                <w:sz w:val="20"/>
                <w:szCs w:val="20"/>
              </w:rPr>
            </w:pPr>
            <w:r>
              <w:rPr>
                <w:rFonts w:eastAsia="Times New Roman"/>
                <w:color w:val="000000"/>
                <w:sz w:val="20"/>
                <w:szCs w:val="20"/>
              </w:rPr>
              <w:t>Assessment for pain intensity for patients who are able to communicate.</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32</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18</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53.3</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rFonts w:eastAsia="Times New Roman"/>
                <w:color w:val="000000"/>
                <w:sz w:val="20"/>
                <w:szCs w:val="20"/>
              </w:rPr>
            </w:pPr>
            <w:bookmarkStart w:id="237" w:name="_Hlk143209327"/>
            <w:r>
              <w:rPr>
                <w:rFonts w:eastAsia="Times New Roman"/>
                <w:color w:val="000000"/>
                <w:sz w:val="20"/>
                <w:szCs w:val="20"/>
              </w:rPr>
              <w:t>Assesses pain using the PQRST.</w:t>
            </w:r>
          </w:p>
          <w:bookmarkEnd w:id="237"/>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Not don</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52</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08</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87.0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sz w:val="20"/>
                <w:szCs w:val="20"/>
              </w:rPr>
            </w:pPr>
            <w:bookmarkStart w:id="238" w:name="_Hlk143209572"/>
            <w:r>
              <w:rPr>
                <w:rFonts w:eastAsia="Times New Roman"/>
                <w:color w:val="000000"/>
                <w:sz w:val="20"/>
                <w:szCs w:val="20"/>
              </w:rPr>
              <w:t>Assesses pain using a pain assessment tool.</w:t>
            </w:r>
          </w:p>
          <w:bookmarkEnd w:id="238"/>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44</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16</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73.3</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sz w:val="20"/>
                <w:szCs w:val="20"/>
              </w:rPr>
            </w:pPr>
            <w:r>
              <w:rPr>
                <w:rFonts w:eastAsia="Times New Roman"/>
                <w:color w:val="000000"/>
                <w:sz w:val="20"/>
                <w:szCs w:val="20"/>
              </w:rPr>
              <w:t>Clearly documents pain assessment findings using a numeric rating scale.</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28</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32</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46.7</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sz w:val="20"/>
                <w:szCs w:val="20"/>
              </w:rPr>
            </w:pPr>
            <w:r>
              <w:rPr>
                <w:rFonts w:eastAsia="Times New Roman"/>
                <w:color w:val="000000"/>
                <w:sz w:val="20"/>
                <w:szCs w:val="20"/>
              </w:rPr>
              <w:t>Explains clearly to ensure the patient understands the pain levels on the scale.</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31</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29</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51.7</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sz w:val="20"/>
                <w:szCs w:val="20"/>
              </w:rPr>
            </w:pPr>
            <w:r>
              <w:rPr>
                <w:sz w:val="20"/>
                <w:szCs w:val="20"/>
              </w:rPr>
              <w:t>Communicates findings with the relevant authority.</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34</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16</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56.7</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sz w:val="20"/>
                <w:szCs w:val="20"/>
              </w:rPr>
            </w:pPr>
            <w:r>
              <w:rPr>
                <w:rFonts w:eastAsia="Times New Roman"/>
                <w:color w:val="000000"/>
                <w:sz w:val="20"/>
                <w:szCs w:val="20"/>
              </w:rPr>
              <w:t>Agrees with patients’ statements about their pain.</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29</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31</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48.3</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sz w:val="20"/>
                <w:szCs w:val="20"/>
              </w:rPr>
            </w:pPr>
            <w:bookmarkStart w:id="239" w:name="_Hlk143209936"/>
            <w:r>
              <w:rPr>
                <w:rFonts w:eastAsia="Times New Roman"/>
                <w:color w:val="000000"/>
                <w:sz w:val="20"/>
                <w:szCs w:val="20"/>
              </w:rPr>
              <w:t>Probes to validate patients’ statements about their pain.</w:t>
            </w:r>
          </w:p>
          <w:bookmarkEnd w:id="239"/>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17</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43</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28.3</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71.7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rFonts w:eastAsia="Times New Roman"/>
                <w:color w:val="000000"/>
                <w:sz w:val="20"/>
                <w:szCs w:val="20"/>
              </w:rPr>
            </w:pPr>
            <w:r>
              <w:rPr>
                <w:rFonts w:eastAsia="Times New Roman"/>
                <w:color w:val="000000"/>
                <w:sz w:val="20"/>
                <w:szCs w:val="20"/>
              </w:rPr>
              <w:t>Educates patient about pain management strategies (list for each checklist)</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25</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35</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41.7</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rFonts w:eastAsia="Times New Roman"/>
                <w:color w:val="000000"/>
                <w:sz w:val="20"/>
                <w:szCs w:val="20"/>
              </w:rPr>
            </w:pPr>
            <w:r>
              <w:rPr>
                <w:rFonts w:eastAsia="Times New Roman"/>
                <w:color w:val="000000"/>
                <w:sz w:val="20"/>
                <w:szCs w:val="20"/>
              </w:rPr>
              <w:t>Reassesses pain level after intervention.</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26</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34</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43.3</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rFonts w:eastAsia="Times New Roman"/>
                <w:color w:val="000000"/>
                <w:sz w:val="20"/>
                <w:szCs w:val="20"/>
              </w:rPr>
            </w:pPr>
            <w:r>
              <w:rPr>
                <w:rFonts w:eastAsia="Times New Roman"/>
                <w:color w:val="000000"/>
                <w:sz w:val="20"/>
                <w:szCs w:val="20"/>
              </w:rPr>
              <w:t>Involves patient and family in pain assessment plan.</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32</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28</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48.4</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rFonts w:eastAsia="Times New Roman"/>
                <w:color w:val="000000"/>
                <w:sz w:val="20"/>
                <w:szCs w:val="20"/>
              </w:rPr>
            </w:pPr>
            <w:r>
              <w:rPr>
                <w:rFonts w:eastAsia="Times New Roman"/>
                <w:color w:val="000000"/>
                <w:sz w:val="20"/>
                <w:szCs w:val="20"/>
              </w:rPr>
              <w:t>Documents treatment modality for pain</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36</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24</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60</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2"/>
              </w:numPr>
              <w:autoSpaceDE w:val="0"/>
              <w:autoSpaceDN w:val="0"/>
              <w:adjustRightInd w:val="0"/>
              <w:rPr>
                <w:rFonts w:eastAsia="Times New Roman"/>
                <w:color w:val="000000"/>
                <w:sz w:val="20"/>
                <w:szCs w:val="20"/>
              </w:rPr>
            </w:pPr>
            <w:r>
              <w:rPr>
                <w:rFonts w:eastAsia="Times New Roman"/>
                <w:color w:val="000000"/>
                <w:sz w:val="20"/>
                <w:szCs w:val="20"/>
              </w:rPr>
              <w:t xml:space="preserve">Impact of pain on functionality is documented. </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 xml:space="preserve">Done </w:t>
            </w:r>
          </w:p>
          <w:p>
            <w:pPr>
              <w:pStyle w:val="24"/>
              <w:autoSpaceDE w:val="0"/>
              <w:autoSpaceDN w:val="0"/>
              <w:adjustRightInd w:val="0"/>
              <w:ind w:left="1440"/>
              <w:rPr>
                <w:rFonts w:eastAsia="Times New Roman"/>
                <w:color w:val="000000"/>
                <w:sz w:val="20"/>
                <w:szCs w:val="20"/>
              </w:rPr>
            </w:pPr>
            <w:r>
              <w:rPr>
                <w:rFonts w:eastAsia="Times New Roman"/>
                <w:color w:val="000000"/>
                <w:sz w:val="20"/>
                <w:szCs w:val="20"/>
              </w:rPr>
              <w:t>Not done</w:t>
            </w:r>
          </w:p>
        </w:tc>
        <w:tc>
          <w:tcPr>
            <w:tcW w:w="1006"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35</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25</w:t>
            </w:r>
          </w:p>
        </w:tc>
        <w:tc>
          <w:tcPr>
            <w:tcW w:w="1154" w:type="dxa"/>
          </w:tcPr>
          <w:p>
            <w:pPr>
              <w:autoSpaceDE w:val="0"/>
              <w:autoSpaceDN w:val="0"/>
              <w:adjustRightInd w:val="0"/>
              <w:spacing w:after="0" w:line="240" w:lineRule="auto"/>
              <w:jc w:val="center"/>
              <w:rPr>
                <w:rFonts w:ascii="Times New Roman" w:hAnsi="Times New Roman" w:eastAsia="MS Mincho" w:cs="Times New Roman"/>
                <w:sz w:val="20"/>
                <w:szCs w:val="20"/>
              </w:rPr>
            </w:pP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58.3</w:t>
            </w:r>
          </w:p>
          <w:p>
            <w:pPr>
              <w:autoSpaceDE w:val="0"/>
              <w:autoSpaceDN w:val="0"/>
              <w:adjustRightInd w:val="0"/>
              <w:spacing w:after="0" w:line="240" w:lineRule="auto"/>
              <w:jc w:val="center"/>
              <w:rPr>
                <w:rFonts w:ascii="Times New Roman" w:hAnsi="Times New Roman" w:eastAsia="MS Mincho" w:cs="Times New Roman"/>
                <w:sz w:val="20"/>
                <w:szCs w:val="20"/>
              </w:rPr>
            </w:pPr>
            <w:r>
              <w:rPr>
                <w:rFonts w:ascii="Times New Roman" w:hAnsi="Times New Roman" w:eastAsia="MS Mincho" w:cs="Times New Roman"/>
                <w:sz w:val="20"/>
                <w:szCs w:val="20"/>
              </w:rPr>
              <w:t>41.7</w:t>
            </w:r>
          </w:p>
        </w:tc>
      </w:tr>
    </w:tbl>
    <w:p>
      <w:pPr>
        <w:spacing w:line="480" w:lineRule="auto"/>
        <w:ind w:firstLine="720"/>
        <w:rPr>
          <w:rFonts w:ascii="Times New Roman" w:hAnsi="Times New Roman" w:cs="Times New Roman"/>
          <w:color w:val="000000" w:themeColor="text1"/>
          <w:sz w:val="24"/>
          <w:szCs w:val="24"/>
          <w14:textFill>
            <w14:solidFill>
              <w14:schemeClr w14:val="tx1"/>
            </w14:solidFill>
          </w14:textFill>
        </w:rPr>
      </w:pPr>
    </w:p>
    <w:p>
      <w:pPr>
        <w:spacing w:line="480" w:lineRule="auto"/>
        <w:ind w:firstLine="720"/>
        <w:rPr>
          <w:rFonts w:ascii="Times New Roman" w:hAnsi="Times New Roman" w:cs="Times New Roman"/>
          <w:color w:val="FF0000"/>
          <w:sz w:val="24"/>
          <w:szCs w:val="24"/>
        </w:rPr>
      </w:pPr>
      <w:r>
        <w:rPr>
          <w:rFonts w:ascii="Times New Roman" w:hAnsi="Times New Roman" w:cs="Times New Roman"/>
          <w:color w:val="000000" w:themeColor="text1"/>
          <w:sz w:val="24"/>
          <w:szCs w:val="24"/>
          <w14:textFill>
            <w14:solidFill>
              <w14:schemeClr w14:val="tx1"/>
            </w14:solidFill>
          </w14:textFill>
        </w:rPr>
        <w:t>According to Table 15, majority of respondents had their post-operative pain management practices improved. For instance, the majority of responders (87%) were able to use the PQRST to evaluate post-operative pain.</w:t>
      </w:r>
      <w:r>
        <w:rPr>
          <w:rFonts w:ascii="Times New Roman" w:hAnsi="Times New Roman" w:cs="Times New Roman"/>
          <w:sz w:val="24"/>
          <w:szCs w:val="24"/>
        </w:rPr>
        <w:t xml:space="preserve"> </w:t>
      </w:r>
      <w:r>
        <w:rPr>
          <w:rFonts w:ascii="Times New Roman" w:hAnsi="Times New Roman" w:cs="Times New Roman"/>
          <w:color w:val="000000" w:themeColor="text1"/>
          <w:sz w:val="24"/>
          <w:szCs w:val="24"/>
          <w14:textFill>
            <w14:solidFill>
              <w14:schemeClr w14:val="tx1"/>
            </w14:solidFill>
          </w14:textFill>
        </w:rPr>
        <w:t xml:space="preserve">Additionally, more than seventy-three percent (73.3%) of the respondents used the pain assessment scale to manage post-operative pain. Also, 75% of the respondents gave POP patients direct nursing care.  However, most respondents (71.7%) were unable to confirm the claims of the patients' pain by probing. </w:t>
      </w:r>
      <w:r>
        <w:rPr>
          <w:rFonts w:ascii="Times New Roman" w:hAnsi="Times New Roman" w:cs="Times New Roman"/>
          <w:sz w:val="24"/>
          <w:szCs w:val="24"/>
        </w:rPr>
        <w:t>Also, more than fifty eight percent (58.3%) of the responders did not inform patients about pain management techniques. Nevertheless, 56.7% of the respondents did not reevaluate the severity of the patients post operative pain following the intervention.</w:t>
      </w:r>
    </w:p>
    <w:p>
      <w:pPr>
        <w:spacing w:line="480" w:lineRule="auto"/>
        <w:rPr>
          <w:rFonts w:ascii="Times New Roman" w:hAnsi="Times New Roman" w:cs="Times New Roman"/>
          <w:color w:val="000000" w:themeColor="text1"/>
          <w:sz w:val="24"/>
          <w:szCs w:val="24"/>
          <w14:textFill>
            <w14:solidFill>
              <w14:schemeClr w14:val="tx1"/>
            </w14:solidFill>
          </w14:textFill>
        </w:rPr>
      </w:pPr>
    </w:p>
    <w:p/>
    <w:p/>
    <w:p/>
    <w:p/>
    <w:p>
      <w:pPr>
        <w:pStyle w:val="3"/>
        <w:spacing w:line="480" w:lineRule="auto"/>
        <w:jc w:val="center"/>
        <w:rPr>
          <w:rFonts w:ascii="Times New Roman" w:hAnsi="Times New Roman" w:cs="Times New Roman"/>
          <w:sz w:val="24"/>
          <w:szCs w:val="24"/>
        </w:rPr>
      </w:pPr>
    </w:p>
    <w:p>
      <w:pPr>
        <w:pStyle w:val="3"/>
        <w:spacing w:line="480" w:lineRule="auto"/>
        <w:jc w:val="center"/>
        <w:rPr>
          <w:rFonts w:ascii="Times New Roman" w:hAnsi="Times New Roman" w:cs="Times New Roman"/>
          <w:sz w:val="24"/>
          <w:szCs w:val="24"/>
        </w:rPr>
      </w:pPr>
    </w:p>
    <w:p>
      <w:pPr>
        <w:pStyle w:val="3"/>
        <w:spacing w:line="480" w:lineRule="auto"/>
        <w:jc w:val="center"/>
        <w:rPr>
          <w:rFonts w:ascii="Times New Roman" w:hAnsi="Times New Roman" w:cs="Times New Roman"/>
          <w:sz w:val="24"/>
          <w:szCs w:val="24"/>
        </w:rPr>
      </w:pPr>
    </w:p>
    <w:p>
      <w:pPr>
        <w:pStyle w:val="3"/>
        <w:spacing w:line="480" w:lineRule="auto"/>
        <w:jc w:val="center"/>
        <w:rPr>
          <w:rFonts w:ascii="Times New Roman" w:hAnsi="Times New Roman" w:cs="Times New Roman"/>
          <w:sz w:val="24"/>
          <w:szCs w:val="24"/>
        </w:rPr>
      </w:pPr>
    </w:p>
    <w:p>
      <w:pPr>
        <w:pStyle w:val="3"/>
        <w:spacing w:line="480" w:lineRule="auto"/>
        <w:jc w:val="center"/>
        <w:rPr>
          <w:rFonts w:ascii="Times New Roman" w:hAnsi="Times New Roman" w:cs="Times New Roman"/>
          <w:sz w:val="24"/>
          <w:szCs w:val="24"/>
        </w:rPr>
      </w:pPr>
    </w:p>
    <w:p>
      <w:pPr>
        <w:pStyle w:val="3"/>
        <w:spacing w:line="480" w:lineRule="auto"/>
        <w:jc w:val="center"/>
        <w:rPr>
          <w:rFonts w:ascii="Times New Roman" w:hAnsi="Times New Roman" w:cs="Times New Roman"/>
          <w:sz w:val="24"/>
          <w:szCs w:val="24"/>
        </w:rPr>
      </w:pPr>
    </w:p>
    <w:p>
      <w:pPr>
        <w:pStyle w:val="3"/>
        <w:spacing w:line="480" w:lineRule="auto"/>
        <w:jc w:val="center"/>
        <w:rPr>
          <w:rFonts w:ascii="Times New Roman" w:hAnsi="Times New Roman" w:cs="Times New Roman"/>
          <w:sz w:val="24"/>
          <w:szCs w:val="24"/>
        </w:rPr>
      </w:pPr>
    </w:p>
    <w:p/>
    <w:p/>
    <w:p/>
    <w:p>
      <w:pPr>
        <w:pStyle w:val="3"/>
        <w:spacing w:line="480" w:lineRule="auto"/>
        <w:jc w:val="center"/>
        <w:rPr>
          <w:rFonts w:ascii="Times New Roman" w:hAnsi="Times New Roman" w:cs="Times New Roman"/>
          <w:sz w:val="24"/>
          <w:szCs w:val="24"/>
        </w:rPr>
      </w:pPr>
      <w:r>
        <w:rPr>
          <w:rFonts w:ascii="Times New Roman" w:hAnsi="Times New Roman" w:cs="Times New Roman"/>
          <w:sz w:val="24"/>
          <w:szCs w:val="24"/>
        </w:rPr>
        <w:t>Chapter Five</w:t>
      </w:r>
      <w:bookmarkEnd w:id="233"/>
      <w:r>
        <w:rPr>
          <w:rFonts w:ascii="Times New Roman" w:hAnsi="Times New Roman" w:cs="Times New Roman"/>
          <w:sz w:val="24"/>
          <w:szCs w:val="24"/>
        </w:rPr>
        <w:t>: Discussion of Findings</w:t>
      </w:r>
      <w:bookmarkEnd w:id="235"/>
      <w:bookmarkEnd w:id="236"/>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results of the current research survey are presented in detail in this chapter. The study's conclusions are evaluated in further detail, with references to and evaluations of earlier published studies. The report's consequences are wide-ranging, as are its suggestions for future research and teaching projects. The goal of the current study was to determine how the pain assessment scale integration affected the nurses' knowledge, attitudes, and practices about post-operative pain care in the surgical ward at Mengo Hospital.</w:t>
      </w:r>
      <w:r>
        <w:rPr>
          <w:rFonts w:ascii="Times New Roman" w:hAnsi="Times New Roman" w:cs="Times New Roman"/>
          <w:sz w:val="24"/>
          <w:szCs w:val="24"/>
        </w:rPr>
        <w:t xml:space="preserve"> The results raise concerns about the respondents' unacceptably low level of knowledge regarding how to manage patients' postoperative pain.</w:t>
      </w:r>
    </w:p>
    <w:p>
      <w:pPr>
        <w:tabs>
          <w:tab w:val="left" w:pos="9360"/>
        </w:tabs>
        <w:spacing w:before="100" w:beforeAutospacing="1" w:after="100" w:afterAutospacing="1" w:line="480" w:lineRule="auto"/>
        <w:ind w:firstLine="63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theory of clinical coaching in nursing and midwifery was used as a flame work to the study findings. Application of the theory made it easy for the researcher to deliver the educational  intervention to nurses and midwives at their workplace which helped them attain new knowledge, clinical skills, and practice </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{"citationItems":[{"id":"ITEM-1","itemData":{"DOI":"10.1016/j.apnr.2020.151314","PMID":"32650886","abstract":"Background: Lack of knowledge about pain is a common barrier to effective pain management. Educational pain management programs directed to health care professionals can improve knowledge and attitudes about pain. However, changing practice is more challenging, but can be achieved with more targeted educational interventions within the clinical setting. Objectives: The main objective of this study was to examine which of four separate pain management educational designs improved nurses' knowledge and attitudes toward pain over time. Secondary objectives were to compare and contrast nurse's knowledge and attitudes toward pain before and after the educational intervention. Design: This randomized controlled trial using a four Solomon group design. Setting: This study took place in Dubai Hospital, Dubai Health Authority, in United Arab Emirates between January 2019-April 2019. Participants: The sample consisted of 200 registered nurses who were randomly selected and assigned into four separate educational groups. Participants had at least one year of experience in Dubai hospital prior to data collection. Results: paired t-test has shown the experimental group scored significantly higher than the control group (p &lt; 0.01). One-way ANOVA revealed significant post-test score differences between groups p &lt; 0.001. A repeated measures ANOVA with a Greenhouse-Geisser correction determined that mean scores over three months was not statistically significant. Indicating that the level of knowledge did not change over time within any of the groups. Conclusion and recommendations: The most important findings were the relatively low pre-test knowledge scores among staff nurses, and the significant improvement in knowledge for most test items following the educational intervention. Moreover, the level of knowledge and attitudes were maintained over three months. The pain management program proved to be effective in improving nurses' pain knowledge, attitudes, and assessment practices. Nurses in the experimental group increased their pain score significantly after the pain management program. Registration number:","author":[{"dropping-particle":"","family":"Salim Ahmed Nezar, Tuffaha Ghassan Mohammed","given":"Brant M. Jeannine","non-dropping-particle":"","parse-names":false,"suffix":""}],"container-title":"National Library of Medicine","id":"ITEM-1","issued":{"date-parts":[["2020"]]},"title":"Impact of a pain management program on nurses' knowledge and attitude toward pain in United Arab Emirates: Experimental-four Solomon group design","type":"article-journal"},"uris":["http://www.mendeley.com/documents/?uuid=69a15e5a-f603-4dfd-88e4-0d2dff1590cf"]}],"mendeley":{"formattedCitation":"(Salim Ahmed Nezar, Tuffaha Ghassan Mohammed, 2020)","manualFormatting":"(Salim, Tuffaha &amp; Brant, 2020)","plainTextFormattedCitation":"(Salim Ahmed Nezar, Tuffaha Ghassan Mohammed, 2020)","previouslyFormattedCitation":"(Salim Ahmed Nezar, Tuffaha Ghassan Mohammed, 2020)"},"properties":{"noteIndex":0},"schema":"https://github.com/citation-style-language/schema/raw/master/csl-citation.json"}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(Salim, Tuffaha &amp; Brant, 2020)</w:t>
      </w:r>
      <w:r>
        <w:rPr>
          <w:rFonts w:ascii="Times New Roman" w:hAnsi="Times New Roman" w:cs="Times New Roman"/>
          <w:bCs/>
          <w:sz w:val="24"/>
          <w:szCs w:val="24"/>
          <w:shd w:val="clear" w:color="auto" w:fill="FFFFFF"/>
        </w:rPr>
        <w:fldChar w:fldCharType="end"/>
      </w:r>
      <w:r>
        <w:rPr>
          <w:rFonts w:ascii="Times New Roman" w:hAnsi="Times New Roman" w:cs="Times New Roman"/>
          <w:b/>
          <w:sz w:val="24"/>
          <w:szCs w:val="24"/>
          <w:shd w:val="clear" w:color="auto" w:fill="FFFFFF"/>
        </w:rPr>
        <w:t xml:space="preserve">. </w:t>
      </w:r>
      <w:r>
        <w:rPr>
          <w:rFonts w:ascii="Times New Roman" w:hAnsi="Times New Roman" w:cs="Times New Roman"/>
          <w:sz w:val="24"/>
          <w:szCs w:val="24"/>
          <w:shd w:val="clear" w:color="auto" w:fill="FFFFFF"/>
        </w:rPr>
        <w:t xml:space="preserve"> The educational intervention enhanced nurses' understanding of pain assessment, work attitudes, and the application of administering appropriate analgesia in accordance with the intensity of pain. Consequently, leading to the provision of quality services to patients with post-operative pain </w:t>
      </w:r>
      <w:r>
        <w:rPr>
          <w:rFonts w:ascii="Times New Roman" w:hAnsi="Times New Roman" w:cs="Times New Roman"/>
          <w:bCs/>
          <w:sz w:val="24"/>
          <w:szCs w:val="24"/>
          <w:shd w:val="clear" w:color="auto" w:fill="FFFFFF"/>
        </w:rPr>
        <w:t>(</w:t>
      </w:r>
      <w:r>
        <w:rPr>
          <w:rFonts w:ascii="Times New Roman" w:hAnsi="Times New Roman" w:cs="Times New Roman"/>
          <w:bCs/>
          <w:sz w:val="24"/>
          <w:szCs w:val="24"/>
          <w:shd w:val="clear" w:color="auto" w:fill="FFFFFF"/>
        </w:rPr>
        <w:fldChar w:fldCharType="begin" w:fldLock="1"/>
      </w:r>
      <w:r>
        <w:rPr>
          <w:rFonts w:ascii="Times New Roman" w:hAnsi="Times New Roman" w:cs="Times New Roman"/>
          <w:bCs/>
          <w:sz w:val="24"/>
          <w:szCs w:val="24"/>
          <w:shd w:val="clear" w:color="auto" w:fill="FFFFFF"/>
        </w:rPr>
        <w:instrText xml:space="preserve">ADDIN CSL_CITATION {"citationItems":[{"id":"ITEM-1","itemData":{"abstract":"Contemporary demands for workplace learning and development in real time have guided one health service to create a new role, that of the clinical coach. Clinical coaches provide point of care educational interventions to achieve clinical skill and practice development for nurses and midwives and to stimulate a culture of learning and development within the organisation. Clinical coaches use coaching processes and mantras, facilitation skills, practice development principles, adult learning strategies, supported practice and clinical assessment tools to achieve these goals within a person-centred philosophy. Specific point of care accountabilities of the coaches related to staff development include supporting clinical induction requirements, supporting preceptor and learner practices, supporting evidence-based clinical development, ensuring that mandatory training requirements are met, and coaching for the maintenance of safe and competent practice.","author":[{"dropping-particle":"","family":"A.Faithfull-Byrne, L. Thompson, K., w. Scafer, M. Williamson, W. Cross","given":"C. Moss","non-dropping-particle":"","parse-names":false,"suffix":""}],"container-title":"Australian College of Nursing","id":"ITEM-1","issued":{"date-parts":[["2017"]]},"title":"Clinical coaches in nursing and midwifery practice: Facilitating point of care workplace learning and development","type":"article-journal"},"uris":["http://www.mendeley.com/documents/?uuid=c4b8235f-acf7-4724-ba90-090c6338c036"]}],"mendeley":{"formattedCitation":"(A.Faithfull-Byrne, L. Thompson, K., w. Scafer, M. Williamson, W. Cross, 2017)","manualFormatting":"Faithfull-Byrne,  2017)","plainTextFormattedCitation":"(A.Faithfull-Byrne, L. Thompson, K., w. Scafer, M. Williamson, W. Cross, 2017)","previouslyFormattedCitation":"(A.Faithfull-Byrne, L. Thompson, K., w. Scafer, M. Williamson, W. Cross, 2017)"},"properties":{"noteIndex":0},"schema":"https://github.com/citation-style-language/schema/raw/master/csl-citation.json"}</w:instrText>
      </w:r>
      <w:r>
        <w:rPr>
          <w:rFonts w:ascii="Times New Roman" w:hAnsi="Times New Roman" w:cs="Times New Roman"/>
          <w:bCs/>
          <w:sz w:val="24"/>
          <w:szCs w:val="24"/>
          <w:shd w:val="clear" w:color="auto" w:fill="FFFFFF"/>
        </w:rPr>
        <w:fldChar w:fldCharType="separate"/>
      </w:r>
      <w:r>
        <w:rPr>
          <w:rFonts w:ascii="Times New Roman" w:hAnsi="Times New Roman" w:cs="Times New Roman"/>
          <w:bCs/>
          <w:sz w:val="24"/>
          <w:szCs w:val="24"/>
          <w:shd w:val="clear" w:color="auto" w:fill="FFFFFF"/>
        </w:rPr>
        <w:t>Faithfull-Byrne,  2017)</w:t>
      </w:r>
      <w:r>
        <w:rPr>
          <w:rFonts w:ascii="Times New Roman" w:hAnsi="Times New Roman" w:cs="Times New Roman"/>
          <w:bCs/>
          <w:sz w:val="24"/>
          <w:szCs w:val="24"/>
          <w:shd w:val="clear" w:color="auto" w:fill="FFFFFF"/>
        </w:rPr>
        <w:fldChar w:fldCharType="end"/>
      </w:r>
      <w:r>
        <w:rPr>
          <w:rFonts w:ascii="Times New Roman" w:hAnsi="Times New Roman" w:cs="Times New Roman"/>
          <w:bCs/>
          <w:sz w:val="24"/>
          <w:szCs w:val="24"/>
          <w:shd w:val="clear" w:color="auto" w:fill="FFFFFF"/>
        </w:rPr>
        <w:t>.</w:t>
      </w:r>
      <w:r>
        <w:rPr>
          <w:rFonts w:ascii="Times New Roman" w:hAnsi="Times New Roman" w:cs="Times New Roman"/>
          <w:sz w:val="24"/>
          <w:szCs w:val="24"/>
          <w:shd w:val="clear" w:color="auto" w:fill="FFFFFF"/>
        </w:rPr>
        <w:t xml:space="preserve"> </w:t>
      </w:r>
    </w:p>
    <w:p>
      <w:pPr>
        <w:pStyle w:val="3"/>
        <w:spacing w:line="480" w:lineRule="auto"/>
        <w:rPr>
          <w:rFonts w:ascii="Times New Roman" w:hAnsi="Times New Roman" w:cs="Times New Roman"/>
          <w:b w:val="0"/>
          <w:sz w:val="24"/>
          <w:szCs w:val="24"/>
        </w:rPr>
      </w:pPr>
      <w:bookmarkStart w:id="240" w:name="_Toc142753431"/>
      <w:bookmarkStart w:id="241" w:name="_Toc134604191"/>
      <w:r>
        <w:rPr>
          <w:rFonts w:ascii="Times New Roman" w:hAnsi="Times New Roman" w:cs="Times New Roman"/>
          <w:sz w:val="24"/>
          <w:szCs w:val="24"/>
        </w:rPr>
        <w:t>Nurses’ knowledge of the management of post-operative pain</w:t>
      </w:r>
      <w:bookmarkEnd w:id="240"/>
      <w:bookmarkEnd w:id="241"/>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Based on the survey, the majority of the nurses in the Mengo surgical ward knew the correct way of rating POP on the 0-10 NRS. The findings of Albaqawi, Maude, and Shawha-Akl (2016) that nurses lack understanding regarding pain evaluation were not supported by these studies. Additionally, the patient's low pain rating score is comparable with Maestro-Gonzalez et al (2021). It is also interesting that the majority of surgical ward nurses thought that the attending physician and the patient's primary nurse, rather than the patient himself, should determine the patient's pain level.</w:t>
      </w:r>
    </w:p>
    <w:p>
      <w:pPr>
        <w:spacing w:line="480" w:lineRule="auto"/>
        <w:ind w:firstLine="720"/>
        <w:jc w:val="both"/>
        <w:rPr>
          <w:rFonts w:ascii="Times New Roman" w:hAnsi="Times New Roman" w:cs="Times New Roman"/>
          <w:bCs/>
          <w:color w:val="C00000"/>
          <w:sz w:val="24"/>
          <w:szCs w:val="24"/>
        </w:rPr>
      </w:pPr>
      <w:r>
        <w:rPr>
          <w:rFonts w:ascii="Times New Roman" w:hAnsi="Times New Roman" w:cs="Times New Roman"/>
          <w:color w:val="000000" w:themeColor="text1"/>
          <w:sz w:val="24"/>
          <w:szCs w:val="24"/>
          <w14:textFill>
            <w14:solidFill>
              <w14:schemeClr w14:val="tx1"/>
            </w14:solidFill>
          </w14:textFill>
        </w:rPr>
        <w:t>The most intriguing finding was that a mass of participants at Mengo Hospital mistakenly believed vital signs to be valid measures of patient pain intensity. Inline, n</w:t>
      </w:r>
      <w:r>
        <w:rPr>
          <w:rFonts w:ascii="Times New Roman" w:hAnsi="Times New Roman" w:cs="Times New Roman"/>
          <w:sz w:val="24"/>
          <w:szCs w:val="24"/>
        </w:rPr>
        <w:t>urses believed vital signs to be consistently reliable predictors of patient pain intensity, according to Khalil (2019).</w:t>
      </w:r>
      <w:r>
        <w:rPr>
          <w:rFonts w:ascii="Times New Roman" w:hAnsi="Times New Roman" w:cs="Times New Roman"/>
          <w:color w:val="000000" w:themeColor="text1"/>
          <w:sz w:val="24"/>
          <w:szCs w:val="24"/>
          <w14:textFill>
            <w14:solidFill>
              <w14:schemeClr w14:val="tx1"/>
            </w14:solidFill>
          </w14:textFill>
        </w:rPr>
        <w:t xml:space="preserve"> Accurate pain assessment is hampered by nurses' belief that shifts in vital signs are a reliable indicator of a patient's level of suffering. Patients can obtain successful pain management if pain evaluation and management techniques based on scientific knowledge and research are applied consistently to patient care. This can prevent stress and dissatisfaction with patient care.</w:t>
      </w:r>
      <w:r>
        <w:rPr>
          <w:rFonts w:ascii="Times New Roman" w:hAnsi="Times New Roman" w:cs="Times New Roman"/>
          <w:bCs/>
          <w:color w:val="000000" w:themeColor="text1"/>
          <w:sz w:val="24"/>
          <w:szCs w:val="24"/>
          <w14:textFill>
            <w14:solidFill>
              <w14:schemeClr w14:val="tx1"/>
            </w14:solidFill>
          </w14:textFill>
        </w:rPr>
        <w:fldChar w:fldCharType="begin" w:fldLock="1"/>
      </w:r>
      <w:r>
        <w:rPr>
          <w:rFonts w:ascii="Times New Roman" w:hAnsi="Times New Roman" w:cs="Times New Roman"/>
          <w:bCs/>
          <w:color w:val="000000" w:themeColor="text1"/>
          <w:sz w:val="24"/>
          <w:szCs w:val="24"/>
          <w14:textFill>
            <w14:solidFill>
              <w14:schemeClr w14:val="tx1"/>
            </w14:solidFill>
          </w14:textFill>
        </w:rPr>
        <w:instrText xml:space="preserve">ADDIN CSL_CITATION {"citationItems":[{"id":"ITEM-1","itemData":{"DOI":"10.1111/j.1440-172X.2010.01872.x","ISSN":"13227114","PMID":"20854345","abstract":"It is well documented that pain management and pain assessment is an indispensible part of the nursing care of patients. This study sought to quantify the current knowledge and attitudes of nursing students in Iran about pain management. We conducted a cross-sectional study using a well-validated questionnaire entitled the 'Knowledge and Attitudes Regarding Pain Tool', previously used to evaluate undergraduate nursing students. Results from the survey questionnaire showed that there was a severe deficit in knowledge relating to pain and its management. It is argued that there is a real need for improving the content of pain and its management in the undergraduate nursing education curriculum, which might improve the delivery of optimal nursing care of patients. The limitations of the study are discussed and some recommendations are made for reforming pain management education for future practice. © 2010 Blackwell Publishing Asia Pty Ltd.","author":[{"dropping-particle":"","family":"Rahimi-Madiseh","given":"Mohammad","non-dropping-particle":"","parse-names":false,"suffix":""},{"dropping-particle":"","family":"Tavakol","given":"Mohsen","non-dropping-particle":"","parse-names":false,"suffix":""},{"dropping-particle":"","family":"Dennick","given":"Reg","non-dropping-particle":"","parse-names":false,"suffix":""}],"container-title":"International Journal of Nursing Practice","id":"ITEM-1","issue":"5","issued":{"date-parts":[["2010"]]},"page":"478-483","title":"A quantitative study of Iranian nursing students' knowledge and attitudes towards pain: Implication for education","type":"article-journal","volume":"16"},"uris":["http://www.mendeley.com/documents/?uuid=2388124f-201c-4e34-8a6b-097752712bf6"]}],"mendeley":{"formattedCitation":"(Rahimi-Madiseh et al., 2010)","manualFormatting":"(Rahimi-Madiseh, Tavakol &amp; Dennick, 2010)","plainTextFormattedCitation":"(Rahimi-Madiseh et al., 2010)","previouslyFormattedCitation":"(Rahimi-Madiseh et al., 2010)"},"properties":{"noteIndex":0},"schema":"https://github.com/citation-style-language/schema/raw/master/csl-citation.json"}</w:instrText>
      </w:r>
      <w:r>
        <w:rPr>
          <w:rFonts w:ascii="Times New Roman" w:hAnsi="Times New Roman" w:cs="Times New Roman"/>
          <w:bCs/>
          <w:color w:val="000000" w:themeColor="text1"/>
          <w:sz w:val="24"/>
          <w:szCs w:val="24"/>
          <w14:textFill>
            <w14:solidFill>
              <w14:schemeClr w14:val="tx1"/>
            </w14:solidFill>
          </w14:textFill>
        </w:rPr>
        <w:fldChar w:fldCharType="separate"/>
      </w:r>
      <w:r>
        <w:rPr>
          <w:rFonts w:ascii="Times New Roman" w:hAnsi="Times New Roman" w:cs="Times New Roman"/>
          <w:bCs/>
          <w:color w:val="000000" w:themeColor="text1"/>
          <w:sz w:val="24"/>
          <w:szCs w:val="24"/>
          <w14:textFill>
            <w14:solidFill>
              <w14:schemeClr w14:val="tx1"/>
            </w14:solidFill>
          </w14:textFill>
        </w:rPr>
        <w:t>(Rahimi-Madiseh, Tavakol &amp; Dennick, 2010)</w:t>
      </w:r>
      <w:r>
        <w:rPr>
          <w:rFonts w:ascii="Times New Roman" w:hAnsi="Times New Roman" w:cs="Times New Roman"/>
          <w:bCs/>
          <w:color w:val="000000" w:themeColor="text1"/>
          <w:sz w:val="24"/>
          <w:szCs w:val="24"/>
          <w14:textFill>
            <w14:solidFill>
              <w14:schemeClr w14:val="tx1"/>
            </w14:solidFill>
          </w14:textFill>
        </w:rPr>
        <w:fldChar w:fldCharType="end"/>
      </w:r>
      <w:r>
        <w:rPr>
          <w:rFonts w:ascii="Times New Roman" w:hAnsi="Times New Roman" w:cs="Times New Roman"/>
          <w:bCs/>
          <w:sz w:val="24"/>
          <w:szCs w:val="24"/>
        </w:rPr>
        <w:t>.</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 this contemporaneous study, analysis of the items that measured knowledge about assessing pain was generally positive, but several misunderstandings in this particular topic surfaced. The patient's self-report of the degree of pain is the most accurate and trustworthy indicator of the presence of pain, according to previously recognized standards</w:t>
      </w:r>
      <w:r>
        <w:rPr>
          <w:rFonts w:ascii="Times New Roman" w:hAnsi="Times New Roman" w:cs="Times New Roman"/>
          <w:bCs/>
          <w:color w:val="000000" w:themeColor="text1"/>
          <w:sz w:val="24"/>
          <w:szCs w:val="24"/>
          <w14:textFill>
            <w14:solidFill>
              <w14:schemeClr w14:val="tx1"/>
            </w14:solidFill>
          </w14:textFill>
        </w:rPr>
        <w:fldChar w:fldCharType="begin" w:fldLock="1"/>
      </w:r>
      <w:r>
        <w:rPr>
          <w:rFonts w:ascii="Times New Roman" w:hAnsi="Times New Roman" w:cs="Times New Roman"/>
          <w:bCs/>
          <w:color w:val="000000" w:themeColor="text1"/>
          <w:sz w:val="24"/>
          <w:szCs w:val="24"/>
          <w14:textFill>
            <w14:solidFill>
              <w14:schemeClr w14:val="tx1"/>
            </w14:solidFill>
          </w14:textFill>
        </w:rPr>
        <w:instrText xml:space="preserve">ADDIN CSL_CITATION {"citationItems":[{"id":"ITEM-1","itemData":{"DOI":"10.4314/thrb.v16i1.7","ISSN":"18216404","PMID":"26867272","abstract":"Inadequately controlled postoperative pain (POP) subjects individuals to complications which may be fatal or leading to prolonged hospital stay. Complications from inadequately controlled POP may alleviate the existing shortage of hospital human resource for health in health facilities in developing countries. The burden and challenges of POP management at health facilities in Tanzania is not known. This study was therefore carried out to evaluate postoperative pain management and patient satisfaction with care given at Kilimanjaro Christian Medical Centre (KCMC). This descriptive prospective hospital based study, was conducted at the Kilimanjaro Christian Medical Centre in Moshi, Tanzania from August 2011 to March 2012. POP and patients' satisfaction with pain relief scores were assessed using pain and satisfaction numerical rating scales. Pain assessment was done at 24 hours and 48 hours after operation. Satisfaction was assessed on 48 hours post surgery. All adult patient aged 18 years and above whom were operated in general surgery ward, KCMC and accepted by signing consent were involved in the study. Patients suffering from nervous system were excluded from the study. A total number of 124 patients were recruited and participated in the study. Sixty-five (52.4%) were males and 59 (47.6%) females. Mean age (SD) years 40.9 ± 15.4. The largest percentage of individuals had mild pain both at rest (45.2%) and during movement (44.4%). Patients whose analgesia was administered intravenously were more likely to be satisfied with POP management than those given intramuscular analgesics (P= 0.028). Analgesia used in combination increased significantly the proportion of pain free individuals 48 hours postoperative compared to 24 hours postoperative (P= 0.003). In conclusion, the postoperative pain management is still a challenge in our centre as nearly half of the patient had mild pain in the first 48 hours post surgery.","author":[{"dropping-particle":"","family":"Masigati","given":"Herbert G.","non-dropping-particle":"","parse-names":false,"suffix":""},{"dropping-particle":"","family":"Chilonga","given":"Kondo S.","non-dropping-particle":"","parse-names":false,"suffix":""}],"container-title":"Tanzania Journal of Health Research","id":"ITEM-1","issue":"1","issued":{"date-parts":[["2014"]]},"title":"Postoperative pain management outcomes among adults treated at a tertiary hospital in Moshi, Tanzania","type":"article-journal","volume":"16"},"uris":["http://www.mendeley.com/documents/?uuid=b7f7f79a-e874-4a8b-bae8-88a639bd37eb"]}],"mendeley":{"formattedCitation":"(Masigati &amp; Chilonga, 2014)","plainTextFormattedCitation":"(Masigati &amp; Chilonga, 2014)","previouslyFormattedCitation":"(Masigati &amp; Chilonga, 2014)"},"properties":{"noteIndex":0},"schema":"https://github.com/citation-style-language/schema/raw/master/csl-citation.json"}</w:instrText>
      </w:r>
      <w:r>
        <w:rPr>
          <w:rFonts w:ascii="Times New Roman" w:hAnsi="Times New Roman" w:cs="Times New Roman"/>
          <w:bCs/>
          <w:color w:val="000000" w:themeColor="text1"/>
          <w:sz w:val="24"/>
          <w:szCs w:val="24"/>
          <w14:textFill>
            <w14:solidFill>
              <w14:schemeClr w14:val="tx1"/>
            </w14:solidFill>
          </w14:textFill>
        </w:rPr>
        <w:fldChar w:fldCharType="separate"/>
      </w:r>
      <w:r>
        <w:rPr>
          <w:rFonts w:ascii="Times New Roman" w:hAnsi="Times New Roman" w:cs="Times New Roman"/>
          <w:bCs/>
          <w:color w:val="000000" w:themeColor="text1"/>
          <w:sz w:val="24"/>
          <w:szCs w:val="24"/>
          <w14:textFill>
            <w14:solidFill>
              <w14:schemeClr w14:val="tx1"/>
            </w14:solidFill>
          </w14:textFill>
        </w:rPr>
        <w:t>(Masigati &amp; Chilonga, 2014 &amp;</w:t>
      </w:r>
      <w:r>
        <w:rPr>
          <w:rFonts w:ascii="Times New Roman" w:hAnsi="Times New Roman" w:cs="Times New Roman"/>
          <w:bCs/>
          <w:color w:val="000000" w:themeColor="text1"/>
          <w:sz w:val="24"/>
          <w:szCs w:val="24"/>
          <w14:textFill>
            <w14:solidFill>
              <w14:schemeClr w14:val="tx1"/>
            </w14:solidFill>
          </w14:textFill>
        </w:rPr>
        <w:fldChar w:fldCharType="end"/>
      </w:r>
      <w:r>
        <w:rPr>
          <w:rFonts w:ascii="Times New Roman" w:hAnsi="Times New Roman" w:cs="Times New Roman"/>
          <w:bCs/>
          <w:color w:val="000000" w:themeColor="text1"/>
          <w:sz w:val="24"/>
          <w:szCs w:val="24"/>
          <w14:textFill>
            <w14:solidFill>
              <w14:schemeClr w14:val="tx1"/>
            </w14:solidFill>
          </w14:textFill>
        </w:rPr>
        <w:t xml:space="preserve"> </w:t>
      </w:r>
      <w:r>
        <w:rPr>
          <w:rFonts w:ascii="Times New Roman" w:hAnsi="Times New Roman" w:cs="Times New Roman"/>
          <w:bCs/>
          <w:color w:val="000000" w:themeColor="text1"/>
          <w:sz w:val="24"/>
          <w:szCs w:val="24"/>
          <w14:textFill>
            <w14:solidFill>
              <w14:schemeClr w14:val="tx1"/>
            </w14:solidFill>
          </w14:textFill>
        </w:rPr>
        <w:fldChar w:fldCharType="begin" w:fldLock="1"/>
      </w:r>
      <w:r>
        <w:rPr>
          <w:rFonts w:ascii="Times New Roman" w:hAnsi="Times New Roman" w:cs="Times New Roman"/>
          <w:bCs/>
          <w:color w:val="000000" w:themeColor="text1"/>
          <w:sz w:val="24"/>
          <w:szCs w:val="24"/>
          <w14:textFill>
            <w14:solidFill>
              <w14:schemeClr w14:val="tx1"/>
            </w14:solidFill>
          </w14:textFill>
        </w:rPr>
        <w:instrText xml:space="preserve">ADDIN CSL_CITATION {"citationItems":[{"id":"ITEM-1","itemData":{"DOI":"10.5799/ahinjs.01.2011.04.0100","ISSN":"1309-8578","author":[{"dropping-particle":"","family":"Yüceer","given":"Sevilay","non-dropping-particle":"","parse-names":false,"suffix":""}],"container-title":"Journal of Clinical and Experimental Investigations","id":"ITEM-1","issue":"4","issued":{"date-parts":[["2011"]]},"page":"474-478","title":"Nursing approaches in the postoperative pain management","type":"article-journal","volume":"2"},"uris":["http://www.mendeley.com/documents/?uuid=e1241b6d-35a2-403a-bac3-2278a8c76495"]}],"mendeley":{"formattedCitation":"(Yüceer, 2011)","plainTextFormattedCitation":"(Yüceer, 2011)","previouslyFormattedCitation":"(Yüceer, 2011)"},"properties":{"noteIndex":0},"schema":"https://github.com/citation-style-language/schema/raw/master/csl-citation.json"}</w:instrText>
      </w:r>
      <w:r>
        <w:rPr>
          <w:rFonts w:ascii="Times New Roman" w:hAnsi="Times New Roman" w:cs="Times New Roman"/>
          <w:bCs/>
          <w:color w:val="000000" w:themeColor="text1"/>
          <w:sz w:val="24"/>
          <w:szCs w:val="24"/>
          <w14:textFill>
            <w14:solidFill>
              <w14:schemeClr w14:val="tx1"/>
            </w14:solidFill>
          </w14:textFill>
        </w:rPr>
        <w:fldChar w:fldCharType="separate"/>
      </w:r>
      <w:r>
        <w:rPr>
          <w:rFonts w:ascii="Times New Roman" w:hAnsi="Times New Roman" w:cs="Times New Roman"/>
          <w:bCs/>
          <w:color w:val="000000" w:themeColor="text1"/>
          <w:sz w:val="24"/>
          <w:szCs w:val="24"/>
          <w14:textFill>
            <w14:solidFill>
              <w14:schemeClr w14:val="tx1"/>
            </w14:solidFill>
          </w14:textFill>
        </w:rPr>
        <w:t>Yüceer, 2011)</w:t>
      </w:r>
      <w:r>
        <w:rPr>
          <w:rFonts w:ascii="Times New Roman" w:hAnsi="Times New Roman" w:cs="Times New Roman"/>
          <w:bCs/>
          <w:color w:val="000000" w:themeColor="text1"/>
          <w:sz w:val="24"/>
          <w:szCs w:val="24"/>
          <w14:textFill>
            <w14:solidFill>
              <w14:schemeClr w14:val="tx1"/>
            </w14:solidFill>
          </w14:textFill>
        </w:rPr>
        <w:fldChar w:fldCharType="end"/>
      </w:r>
      <w:r>
        <w:rPr>
          <w:rFonts w:ascii="Times New Roman" w:hAnsi="Times New Roman" w:cs="Times New Roman"/>
          <w:bCs/>
          <w:sz w:val="24"/>
          <w:szCs w:val="24"/>
        </w:rPr>
        <w:t>.</w:t>
      </w:r>
      <w:r>
        <w:rPr>
          <w:rFonts w:ascii="Times New Roman" w:hAnsi="Times New Roman" w:cs="Times New Roman"/>
          <w:color w:val="C00000"/>
          <w:sz w:val="24"/>
          <w:szCs w:val="24"/>
        </w:rPr>
        <w:t xml:space="preserve"> </w:t>
      </w:r>
      <w:r>
        <w:rPr>
          <w:rFonts w:ascii="Times New Roman" w:hAnsi="Times New Roman" w:cs="Times New Roman"/>
          <w:sz w:val="24"/>
          <w:szCs w:val="24"/>
        </w:rPr>
        <w:t>The majority of participants in this survey accurately concluded that the patient is the best judge of whether or not there is pain.</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patient is the most accurate judge of the presence of pain, according to a significant issue that emerged in this recent study of respondents. The findings showed that most nurses were more likely to believe the pain score of the patient who was grimacing than the one who was smiling when respondents were asked to rate both patients' degrees of pain intensity. This contradicts the adage that states that pain is whatever the person feeling it claims it to be </w:t>
      </w:r>
      <w:r>
        <w:rPr>
          <w:rFonts w:ascii="Times New Roman" w:hAnsi="Times New Roman" w:cs="Times New Roman"/>
          <w:bCs/>
          <w:color w:val="000000" w:themeColor="text1"/>
          <w:sz w:val="24"/>
          <w:szCs w:val="24"/>
          <w14:textFill>
            <w14:solidFill>
              <w14:schemeClr w14:val="tx1"/>
            </w14:solidFill>
          </w14:textFill>
        </w:rPr>
        <w:fldChar w:fldCharType="begin" w:fldLock="1"/>
      </w:r>
      <w:r>
        <w:rPr>
          <w:rFonts w:ascii="Times New Roman" w:hAnsi="Times New Roman" w:cs="Times New Roman"/>
          <w:bCs/>
          <w:color w:val="000000" w:themeColor="text1"/>
          <w:sz w:val="24"/>
          <w:szCs w:val="24"/>
          <w14:textFill>
            <w14:solidFill>
              <w14:schemeClr w14:val="tx1"/>
            </w14:solidFill>
          </w14:textFill>
        </w:rPr>
        <w:instrText xml:space="preserve">ADDIN CSL_CITATION {"citationItems":[{"id":"ITEM-1","itemData":{"DOI":"10.1155/2019/9091467","ISSN":"2090-1429","abstract":" Background. Postoperative pain remains one of the greatest concerns for patients following surgical procedures. Nurses play an essential role in postoperative pain assessment and management, especially within the first few days after surgery. Objective. The study investigated how nurses in a resource-constraint hospital in Ghana assessed and managed postoperative pain. Methods. This was an explorative qualitative study involving 12 registered nurses practising in the largest referral hospital in Ghana. Data was gathered using a semistructured interview guide. Demographic characteristics of participants were summarized using descriptive statistics. Data were analysed using Kvale’s three phases for analysing qualitative data. First, the entire text was read again to identify meaning units which were then condensed. Second, the condensed texts were read again and interpreted. Finally, the condensed data containing similar meaning were coded and then sorted into subthemes. Results. It was found that some nurses have never used any pain assessment tool due to lack of standard tool for assessing postoperative pain. The majority of nurses reported that managing pain by using medication was the norm especially in the first 24 hours after surgery. Conclusion. Although participants may have some knowledge of assessing and managing postoperative pain, this knowledge was not largely used to manage postoperative pain effectively, partly because of resource constraints. Therefore, there is the need for adequate training and with provision of resources, it is imperative that the use of standardized pain assessment scales could help in the proper assessment and management of postoperative pain in this setting. ","author":[{"dropping-particle":"","family":"Mahama","given":"Faisal","non-dropping-particle":"","parse-names":false,"suffix":""},{"dropping-particle":"","family":"Ninnoni","given":"Jerry P. K.","non-dropping-particle":"","parse-names":false,"suffix":""}],"container-title":"Nursing Research and Practice","id":"ITEM-1","issued":{"date-parts":[["2019"]]},"page":"1-7","title":"Assessment and Management of Postoperative Pain among Nurses at a Resource-Constraint Teaching Hospital in Ghana","type":"article-journal","volume":"2019"},"uris":["http://www.mendeley.com/documents/?uuid=913ba63c-f6cb-436f-815a-cfce17096014"]}],"mendeley":{"formattedCitation":"(Mahama &amp; Ninnoni, 2019)","plainTextFormattedCitation":"(Mahama &amp; Ninnoni, 2019)","previouslyFormattedCitation":"(Mahama &amp; Ninnoni, 2019)"},"properties":{"noteIndex":0},"schema":"https://github.com/citation-style-language/schema/raw/master/csl-citation.json"}</w:instrText>
      </w:r>
      <w:r>
        <w:rPr>
          <w:rFonts w:ascii="Times New Roman" w:hAnsi="Times New Roman" w:cs="Times New Roman"/>
          <w:bCs/>
          <w:color w:val="000000" w:themeColor="text1"/>
          <w:sz w:val="24"/>
          <w:szCs w:val="24"/>
          <w14:textFill>
            <w14:solidFill>
              <w14:schemeClr w14:val="tx1"/>
            </w14:solidFill>
          </w14:textFill>
        </w:rPr>
        <w:fldChar w:fldCharType="separate"/>
      </w:r>
      <w:r>
        <w:rPr>
          <w:rFonts w:ascii="Times New Roman" w:hAnsi="Times New Roman" w:cs="Times New Roman"/>
          <w:bCs/>
          <w:color w:val="000000" w:themeColor="text1"/>
          <w:sz w:val="24"/>
          <w:szCs w:val="24"/>
          <w14:textFill>
            <w14:solidFill>
              <w14:schemeClr w14:val="tx1"/>
            </w14:solidFill>
          </w14:textFill>
        </w:rPr>
        <w:t>(Mahama &amp; Ninnoni, 2019)</w:t>
      </w:r>
      <w:r>
        <w:rPr>
          <w:rFonts w:ascii="Times New Roman" w:hAnsi="Times New Roman" w:cs="Times New Roman"/>
          <w:bCs/>
          <w:color w:val="000000" w:themeColor="text1"/>
          <w:sz w:val="24"/>
          <w:szCs w:val="24"/>
          <w14:textFill>
            <w14:solidFill>
              <w14:schemeClr w14:val="tx1"/>
            </w14:solidFill>
          </w14:textFill>
        </w:rPr>
        <w:fldChar w:fldCharType="end"/>
      </w:r>
      <w:r>
        <w:rPr>
          <w:rFonts w:ascii="Times New Roman" w:hAnsi="Times New Roman" w:cs="Times New Roman"/>
          <w:b/>
          <w:color w:val="000000" w:themeColor="text1"/>
          <w:sz w:val="24"/>
          <w:szCs w:val="24"/>
          <w14:textFill>
            <w14:solidFill>
              <w14:schemeClr w14:val="tx1"/>
            </w14:solidFill>
          </w14:textFill>
        </w:rPr>
        <w:t xml:space="preserve">. </w:t>
      </w:r>
      <w:bookmarkStart w:id="242" w:name="_Hlk121320695"/>
      <w:r>
        <w:rPr>
          <w:rFonts w:ascii="Times New Roman" w:hAnsi="Times New Roman" w:cs="Times New Roman"/>
          <w:color w:val="000000" w:themeColor="text1"/>
          <w:sz w:val="24"/>
          <w:szCs w:val="24"/>
          <w14:textFill>
            <w14:solidFill>
              <w14:schemeClr w14:val="tx1"/>
            </w14:solidFill>
          </w14:textFill>
        </w:rPr>
        <w:t xml:space="preserve">This disparity showed that respondents' assessments of both patients in the case situations changed depending only on the presence or absence of physical pathology. This is in line with the findings of previous researchers who have also demonstrated that nurses modify their numerical assessments of pain based on the behavior of patients, more likely to believe a patient who is displaying behavioral signs of pain than a patient who is not. </w:t>
      </w:r>
      <w:bookmarkEnd w:id="242"/>
      <w:r>
        <w:rPr>
          <w:rFonts w:ascii="Times New Roman" w:hAnsi="Times New Roman" w:cs="Times New Roman"/>
          <w:bCs/>
          <w:color w:val="000000" w:themeColor="text1"/>
          <w:sz w:val="24"/>
          <w:szCs w:val="24"/>
          <w14:textFill>
            <w14:solidFill>
              <w14:schemeClr w14:val="tx1"/>
            </w14:solidFill>
          </w14:textFill>
        </w:rPr>
        <w:t xml:space="preserve">(Rahimi-Madiseh, Tavakol &amp; Dennick 2010). </w:t>
      </w:r>
      <w:r>
        <w:rPr>
          <w:rFonts w:ascii="Times New Roman" w:hAnsi="Times New Roman" w:cs="Times New Roman"/>
          <w:color w:val="000000" w:themeColor="text1"/>
          <w:sz w:val="24"/>
          <w:szCs w:val="24"/>
          <w14:textFill>
            <w14:solidFill>
              <w14:schemeClr w14:val="tx1"/>
            </w14:solidFill>
          </w14:textFill>
        </w:rPr>
        <w:t>Additionally, according to assessed results from the majority of respondents, nurses' assessments of pain are based on their intuitive judgements and patients' nonverbal pain cues, both of which have been identified as obstacles to efficient pain treatment.</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 significant proportion of participants in this survey, however, incorrectly asserted that physiological changes in vital signs are always reliable indicators of the presence of pain. This revealed other misconceptions about how to judge pain. This outcome is in line with earlier studies that supported the idea that vital signs were a significant indicator of the level of discomfort (Adams, Varaei &amp; Jalalinia, 2020; Jemebere, Bekele, &amp; Tsegaye et al., 2020). </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Further, this study discovered erroneous assumptions and information gaps about patients' pain-related behaviors. The neuromatrix theory of pain maintains, as was already noted, that psychological factors, which are essential to how pain is experienced, have a considerable impact on pain</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{"citationItems":[{"id":"ITEM-1","itemData":{"id":"ITEM-1","issued":{"date-parts":[["0"]]},"title":"Persistent Pain ; What is it ? What can we do about it ? Impact of pain","type":"article-journal"},"uris":["http://www.mendeley.com/documents/?uuid=8f5125af-18ac-48f9-ae56-cc075bb91624"]}],"mendeley":{"formattedCitation":"(&lt;i&gt;Persistent Pain ; What Is It ? What Can We Do about It ? Impact of Pain&lt;/i&gt;, n.d.)","plainTextFormattedCitation":"(Persistent Pain ; What Is It ? What Can We Do about It ? Impact of Pain, n.d.)","previouslyFormattedCitation":"(&lt;i&gt;Persistent Pain ; What Is It ? What Can We Do about It ? Impact of Pain&lt;/i&gt;, n.d.)"},"properties":{"noteIndex":0},"schema":"https://github.com/citation-style-language/schema/raw/master/csl-citation.json"}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(Persistent Pain ; What Is It ? What Can We Do about It ? Impact of Pain, n.d.</w:t>
      </w:r>
      <w:r>
        <w:rPr>
          <w:rFonts w:ascii="Times New Roman" w:hAnsi="Times New Roman" w:cs="Times New Roman"/>
          <w:bCs/>
          <w:sz w:val="24"/>
          <w:szCs w:val="24"/>
        </w:rPr>
        <w:fldChar w:fldCharType="end"/>
      </w:r>
      <w:r>
        <w:rPr>
          <w:rFonts w:ascii="Times New Roman" w:hAnsi="Times New Roman" w:cs="Times New Roman"/>
          <w:bCs/>
          <w:sz w:val="24"/>
          <w:szCs w:val="24"/>
        </w:rPr>
        <w:t>, Mandeville, 2010)</w:t>
      </w:r>
      <w:r>
        <w:rPr>
          <w:rFonts w:ascii="Times New Roman" w:hAnsi="Times New Roman" w:cs="Times New Roman"/>
          <w:sz w:val="24"/>
          <w:szCs w:val="24"/>
        </w:rPr>
        <w:t>.</w:t>
      </w:r>
      <w:r>
        <w:rPr>
          <w:rFonts w:ascii="Times New Roman" w:hAnsi="Times New Roman" w:cs="Times New Roman"/>
          <w:color w:val="FF0000"/>
          <w:sz w:val="24"/>
          <w:szCs w:val="24"/>
        </w:rPr>
        <w:t xml:space="preserve"> </w:t>
      </w:r>
      <w:r>
        <w:rPr>
          <w:rFonts w:ascii="Times New Roman" w:hAnsi="Times New Roman" w:cs="Times New Roman"/>
          <w:color w:val="000000" w:themeColor="text1"/>
          <w:sz w:val="24"/>
          <w:szCs w:val="24"/>
          <w14:textFill>
            <w14:solidFill>
              <w14:schemeClr w14:val="tx1"/>
            </w14:solidFill>
          </w14:textFill>
        </w:rPr>
        <w:t xml:space="preserve">This has led to a growing understanding of the need for non-pharmacological interventions as adjuvant therapy for the effective management of pain. When a significant portion of respondents to the current study were unaware that patients who can be distracted from pain typically do not have severe pain, this revealed knowledge gaps in this area. </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Further, equally troubling was that nearly half of the respondents in this study believed that people with severe pain cannot sleep. This finding is parallel to </w:t>
      </w:r>
      <w:bookmarkStart w:id="243" w:name="_Hlk121320727"/>
      <w:r>
        <w:rPr>
          <w:rFonts w:ascii="Times New Roman" w:hAnsi="Times New Roman" w:cs="Times New Roman"/>
          <w:bCs/>
          <w:color w:val="000000" w:themeColor="text1"/>
          <w:sz w:val="24"/>
          <w:szCs w:val="24"/>
          <w14:textFill>
            <w14:solidFill>
              <w14:schemeClr w14:val="tx1"/>
            </w14:solidFill>
          </w14:textFill>
        </w:rPr>
        <w:fldChar w:fldCharType="begin" w:fldLock="1"/>
      </w:r>
      <w:r>
        <w:rPr>
          <w:rFonts w:ascii="Times New Roman" w:hAnsi="Times New Roman" w:cs="Times New Roman"/>
          <w:bCs/>
          <w:color w:val="000000" w:themeColor="text1"/>
          <w:sz w:val="24"/>
          <w:szCs w:val="24"/>
          <w14:textFill>
            <w14:solidFill>
              <w14:schemeClr w14:val="tx1"/>
            </w14:solidFill>
          </w14:textFill>
        </w:rPr>
        <w:instrText xml:space="preserve">ADDIN CSL_CITATION {"citationItems":[{"id":"ITEM-1","itemData":{"DOI":"10.3390/healthcare10030528","ISSN":"22279032","abstract":"Inadequate pain management affects the patient outcome. Pain assessment and management are fundamental in nursing care, and nurses must be equipped with adequate knowledge and a positive attitude toward pain assessment and management. This study aims to evaluate nurses’ knowledge and attitudes regarding pain assessment and management at King Fahad Hospital, Al‐Madinah, Kingdom of Saudi Arabia. A quantitative, cross‐sectional survey, using a self‐administered questionnaire, was conducted from January to February 2020 with 660 registered nurses working in the Emergency Department, critical care units, inpatient and outpatient departments at King Fahad Hospital in Al‐Medinah, Kingdom of Saudi Arabia. The data were analyzed with descriptive and inferential statistics. Of the 660 nurses, 291 responded, resulting in a response rate of 44.09%. The participants’ scores ranged from 17.7% to 100%, with a mean score 45.29%. The majority of the participants (70.1%) had a poor level of knowledge and attitudes (score &lt;50%). Nurses working in the outpatient department scored significantly higher than the group working in the Emergency Department and inpatient wards. Deficient knowledge and negative attitudes were found and nurses continue to underassess and undertreat pain. Nursing school curricula and in‐service continuous education must equip nurses with the required knowledge and attitudes to enable them to manage pain effectively.","author":[{"dropping-particle":"","family":"Al‐sayaghi","given":"Khaled M.","non-dropping-particle":"","parse-names":false,"suffix":""},{"dropping-particle":"","family":"Fadlalmola","given":"Hammad A.","non-dropping-particle":"","parse-names":false,"suffix":""},{"dropping-particle":"","family":"Aljohani","given":"Wael A.","non-dropping-particle":"","parse-names":false,"suffix":""},{"dropping-particle":"","family":"Alenezi","given":"Ali M.","non-dropping-particle":"","parse-names":false,"suffix":""},{"dropping-particle":"","family":"Aljohani","given":"Dalal T.","non-dropping-particle":"","parse-names":false,"suffix":""},{"dropping-particle":"","family":"Aljohani","given":"Thana A.","non-dropping-particle":"","parse-names":false,"suffix":""},{"dropping-particle":"","family":"Alsaleh","given":"Sameer A.","non-dropping-particle":"","parse-names":false,"suffix":""},{"dropping-particle":"","family":"Aljohani","given":"Khalid A.","non-dropping-particle":"","parse-names":false,"suffix":""},{"dropping-particle":"","family":"Aljohani","given":"Mohammed S.","non-dropping-particle":"","parse-names":false,"suffix":""},{"dropping-particle":"","family":"Alzahrani","given":"Naif S.","non-dropping-particle":"","parse-names":false,"suffix":""},{"dropping-particle":"","family":"Alamri","given":"Ayman A.","non-dropping-particle":"","parse-names":false,"suffix":""},{"dropping-particle":"","family":"Alhousah","given":"Amraa H.","non-dropping-particle":"","parse-names":false,"suffix":""},{"dropping-particle":"","family":"Khan","given":"Mumtaz F.","non-dropping-particle":"","parse-names":false,"suffix":""}],"container-title":"Healthcare (Switzerland)","id":"ITEM-1","issue":"3","issued":{"date-parts":[["2022"]]},"title":"Nurses’ Knowledge and Attitudes Regarding Pain Assessment and Management in Saudi Arabia","type":"article-journal","volume":"10"},"uris":["http://www.mendeley.com/documents/?uuid=4ff8370f-9909-4211-b8a1-cb5556f8a61b"]}],"mendeley":{"formattedCitation":"(Al‐sayaghi et al., 2022)","manualFormatting":"Al‐sayaghi et al. (2022)","plainTextFormattedCitation":"(Al‐sayaghi et al., 2022)","previouslyFormattedCitation":"(Al‐sayaghi et al., 2022)"},"properties":{"noteIndex":0},"schema":"https://github.com/citation-style-language/schema/raw/master/csl-citation.json"}</w:instrText>
      </w:r>
      <w:r>
        <w:rPr>
          <w:rFonts w:ascii="Times New Roman" w:hAnsi="Times New Roman" w:cs="Times New Roman"/>
          <w:bCs/>
          <w:color w:val="000000" w:themeColor="text1"/>
          <w:sz w:val="24"/>
          <w:szCs w:val="24"/>
          <w14:textFill>
            <w14:solidFill>
              <w14:schemeClr w14:val="tx1"/>
            </w14:solidFill>
          </w14:textFill>
        </w:rPr>
        <w:fldChar w:fldCharType="separate"/>
      </w:r>
      <w:r>
        <w:rPr>
          <w:rFonts w:ascii="Times New Roman" w:hAnsi="Times New Roman" w:cs="Times New Roman"/>
          <w:bCs/>
          <w:color w:val="000000" w:themeColor="text1"/>
          <w:sz w:val="24"/>
          <w:szCs w:val="24"/>
          <w14:textFill>
            <w14:solidFill>
              <w14:schemeClr w14:val="tx1"/>
            </w14:solidFill>
          </w14:textFill>
        </w:rPr>
        <w:t>Al‐sayaghi et al. (2022)</w:t>
      </w:r>
      <w:r>
        <w:rPr>
          <w:rFonts w:ascii="Times New Roman" w:hAnsi="Times New Roman" w:cs="Times New Roman"/>
          <w:bCs/>
          <w:color w:val="000000" w:themeColor="text1"/>
          <w:sz w:val="24"/>
          <w:szCs w:val="24"/>
          <w14:textFill>
            <w14:solidFill>
              <w14:schemeClr w14:val="tx1"/>
            </w14:solidFill>
          </w14:textFill>
        </w:rPr>
        <w:fldChar w:fldCharType="end"/>
      </w:r>
      <w:r>
        <w:rPr>
          <w:rFonts w:ascii="Times New Roman" w:hAnsi="Times New Roman" w:cs="Times New Roman"/>
          <w:bCs/>
          <w:color w:val="FF0000"/>
          <w:sz w:val="24"/>
          <w:szCs w:val="24"/>
        </w:rPr>
        <w:t xml:space="preserve"> </w:t>
      </w:r>
      <w:bookmarkEnd w:id="243"/>
      <w:r>
        <w:rPr>
          <w:rFonts w:ascii="Times New Roman" w:hAnsi="Times New Roman" w:cs="Times New Roman"/>
          <w:bCs/>
          <w:sz w:val="24"/>
          <w:szCs w:val="24"/>
        </w:rPr>
        <w:t>and</w:t>
      </w:r>
      <w:r>
        <w:rPr>
          <w:rFonts w:ascii="Times New Roman" w:hAnsi="Times New Roman" w:cs="Times New Roman"/>
          <w:bCs/>
          <w:sz w:val="24"/>
          <w:szCs w:val="24"/>
          <w:shd w:val="clear" w:color="auto" w:fill="FFFFFF"/>
        </w:rPr>
        <w:t xml:space="preserve"> Jemebere et al. (2020)</w:t>
      </w:r>
      <w:r>
        <w:rPr>
          <w:rFonts w:ascii="Times New Roman" w:hAnsi="Times New Roman" w:cs="Times New Roman"/>
          <w:sz w:val="24"/>
          <w:szCs w:val="24"/>
          <w:shd w:val="clear" w:color="auto" w:fill="FFFFFF"/>
        </w:rPr>
        <w:t xml:space="preserve"> who shown that nurses thought patients who could sleep were not in great discomfort. </w:t>
      </w:r>
      <w:r>
        <w:rPr>
          <w:rFonts w:ascii="Times New Roman" w:hAnsi="Times New Roman" w:cs="Times New Roman"/>
          <w:color w:val="000000" w:themeColor="text1"/>
          <w:sz w:val="24"/>
          <w:szCs w:val="24"/>
          <w14:textFill>
            <w14:solidFill>
              <w14:schemeClr w14:val="tx1"/>
            </w14:solidFill>
          </w14:textFill>
        </w:rPr>
        <w:t xml:space="preserve">This finding also reflects the work of other researchers like </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{"citationItems":[{"id":"ITEM-1","itemData":{"DOI":"10.1111/j.1365-2702.2010.03226.x","ISSN":"09621067","PMID":"20529163","abstract":"Aim. To explore nurses' knowledge and barriers regarding pain management in intensive care units.Background. Pain is a common and treatable condition among intensive care patients. Quality care of these patients depends on the pain knowledge and pain management skills of critical care nurses. However, no single study has explored these nurses' knowledge of and perceived barriers to pain management in Taiwan.Design. A cross-sectional study.Method. Intensive care unit nurses (n = 370) were recruited from 16 hospitals chosen by stratified sampling across Taipei County in Taiwan. Data were collected on nurses' knowledge of pain management using the Nurses' Knowledge and Attitudes Survey-Taiwanese version, on perceived barriers to pain management using a researcher-developed scale and on background information.Results. The overall average correct response rate for the knowledge scale was 53.4%, indicating poor knowledge of pain management. The top barrier to managing pain identified by these nurses was 'giving proper pain prescription needs doctor's approval; can't depend on me'. Knowledge of pain management was significantly and negatively related to perceived barriers to pain management. In addition, scores for knowledge and perceived barriers differed significantly by specific intensive care unit. Knowledge also differed significantly by nurses' education level, clinical competence level (nursing ladder) and hospital accreditation category.Conclusion. Our results indicate an urgent need to strengthen pain education by including case analysis for intensive care nurses in Taiwan.Relevance to clinical practice. Pain education should target knowledge deficits and barriers to changing pain management approaches for Taiwanese nurses in intensive care units. © 2010 Blackwell Publishing Ltd.","author":[{"dropping-particle":"","family":"Wang","given":"Hsiang Ling","non-dropping-particle":"","parse-names":false,"suffix":""},{"dropping-particle":"","family":"Tsai","given":"Yun Fang","non-dropping-particle":"","parse-names":false,"suffix":""}],"container-title":"Journal of Clinical Nursing","id":"ITEM-1","issue":"21-22","issued":{"date-parts":[["2010"]]},"page":"3188-3196","title":"Nurses' knowledge and barriers regarding pain management in intensive care units","type":"article-journal","volume":"19"},"uris":["http://www.mendeley.com/documents/?uuid=ce2bdf8f-df0f-4f9d-a185-b9951e5945b5"]}],"mendeley":{"formattedCitation":"(Wang &amp; Tsai, 2010)","manualFormatting":"Wang and Tsai (2010)","plainTextFormattedCitation":"(Wang &amp; Tsai, 2010)","previouslyFormattedCitation":"(Wang &amp; Tsai, 2010)"},"properties":{"noteIndex":0},"schema":"https://github.com/citation-style-language/schema/raw/master/csl-citation.json"}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Wang and Tsai (2010)</w:t>
      </w:r>
      <w:r>
        <w:rPr>
          <w:rFonts w:ascii="Times New Roman" w:hAnsi="Times New Roman" w:cs="Times New Roman"/>
          <w:bCs/>
          <w:sz w:val="24"/>
          <w:szCs w:val="24"/>
        </w:rPr>
        <w:fldChar w:fldCharType="end"/>
      </w:r>
      <w:r>
        <w:rPr>
          <w:rFonts w:ascii="Times New Roman" w:hAnsi="Times New Roman" w:cs="Times New Roman"/>
          <w:bCs/>
          <w:sz w:val="24"/>
          <w:szCs w:val="24"/>
        </w:rPr>
        <w:t xml:space="preserve">; Khalil 2019 and </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{"citationItems":[{"id":"ITEM-1","itemData":{"DOI":"10.1016/j.pmn.2014.02.002","ISSN":"15249042","PMID":"24981120","abstract":"Undertreatment of postoperative pain can aggravate patient outcomes and is associated with attending nurses' knowledge deficits or negative attitudes toward pain. The aim of this study was to investigate knowledge and attitudes toward postoperative pain of surgical department nurses and to identify predictors of their knowledge and attitudes. This was a descriptive, cross-sectional survey that took place in the departments of general surgery, orthopedics, neurosurgery, ear-nose-throat surgery, and obstetrics/gynecology at five Greek hospitals. Participants were a convenience sample of registered and assistant nurses. Nurses were asked to complete a three-section questionnaire, which included demographics, a Knowledge and Attitudes Survey Regarding Pain (KASRP) tool modified for postoperative pain, and seven questions capturing personal characteristics, working conditions, and feelings about work. One hundred eighty-two questionnaires were completed. Average scores were 45.35% for modified KASRP tool; 28.57% for pain assessment; 55.44% for general pain management; and 47.13% for use of analgesics. Four of the five most commonly missed items referred to use of analgesics. More previous personal experience of postoperative pain (. p = .002) and being a registered nurse (. p = .015) predicted higher modified KASRP tool score. Participation in continuing education programs and department of employment were also associated with differences in the modified tool score. The knowledge deficits and negative attitudes of the nurses toward postoperative pain highlight the role of pregraduate and continuing education, appropriately specialized for each surgical department, in the development of empathy toward patients in pain and of clinical competency regarding pain assessment and administration of analgesics.","author":[{"dropping-particle":"","family":"Kiekkas","given":"Panagiotis","non-dropping-particle":"","parse-names":false,"suffix":""},{"dropping-particle":"","family":"Gardeli","given":"Panagiota","non-dropping-particle":"","parse-names":false,"suffix":""},{"dropping-particle":"","family":"Bakalis","given":"Nick","non-dropping-particle":"","parse-names":false,"suffix":""},{"dropping-particle":"","family":"Stefanopoulos","given":"Nikolaos","non-dropping-particle":"","parse-names":false,"suffix":""},{"dropping-particle":"","family":"Adamopoulou","given":"Katerina","non-dropping-particle":"","parse-names":false,"suffix":""},{"dropping-particle":"","family":"Avdulla","given":"Christos","non-dropping-particle":"","parse-names":false,"suffix":""},{"dropping-particle":"","family":"Tzourala","given":"Georgia","non-dropping-particle":"","parse-names":false,"suffix":""},{"dropping-particle":"","family":"Konstantinou","given":"Evangelos","non-dropping-particle":"","parse-names":false,"suffix":""}],"container-title":"Pain Management Nursing","id":"ITEM-1","issue":"1","issued":{"date-parts":[["2015"]]},"page":"2-10","publisher":"American Society for Pain Management Nursing","title":"Predictors of Nurses' Knowledge and Attitudes Toward Postoperative Pain in Greece","type":"article-journal","volume":"16"},"uris":["http://www.mendeley.com/documents/?uuid=a4019826-c566-4378-925c-21dcd4f7ea1b"]}],"mendeley":{"formattedCitation":"(Kiekkas et al., 2015)","plainTextFormattedCitation":"(Kiekkas et al., 2015)","previouslyFormattedCitation":"(Kiekkas et al., 2015)"},"properties":{"noteIndex":0},"schema":"https://github.com/citation-style-language/schema/raw/master/csl-citation.json"}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Kiekkas et al., (2015)</w:t>
      </w:r>
      <w:r>
        <w:rPr>
          <w:rFonts w:ascii="Times New Roman" w:hAnsi="Times New Roman" w:cs="Times New Roman"/>
          <w:bCs/>
          <w:sz w:val="24"/>
          <w:szCs w:val="24"/>
        </w:rPr>
        <w:fldChar w:fldCharType="end"/>
      </w:r>
      <w:r>
        <w:rPr>
          <w:rFonts w:ascii="Times New Roman" w:hAnsi="Times New Roman" w:cs="Times New Roman"/>
          <w:b/>
          <w:sz w:val="24"/>
          <w:szCs w:val="24"/>
        </w:rPr>
        <w:t xml:space="preserve"> </w:t>
      </w:r>
      <w:r>
        <w:rPr>
          <w:rFonts w:ascii="Times New Roman" w:hAnsi="Times New Roman" w:cs="Times New Roman"/>
          <w:color w:val="000000" w:themeColor="text1"/>
          <w:sz w:val="24"/>
          <w:szCs w:val="24"/>
          <w14:textFill>
            <w14:solidFill>
              <w14:schemeClr w14:val="tx1"/>
            </w14:solidFill>
          </w14:textFill>
        </w:rPr>
        <w:t>patients do employ coping strategies such as distraction techniques and sleeping to avert their attention from pain. This result also supports the findings of previous investigators, like Wang and Tsai (2010), Khalil 2019 and Kiekkas et al. (2015). Patients do use coping mechanisms including sleeping and distraction techniques to block out pain. This conclusion may be accurate given that nurses lack sufficient expertise in pain evaluation. These sleep-related discoveries can aid nurses and midwives in better managing patients' POP.</w:t>
      </w:r>
    </w:p>
    <w:p>
      <w:pPr>
        <w:pStyle w:val="3"/>
        <w:spacing w:line="480" w:lineRule="auto"/>
        <w:rPr>
          <w:rFonts w:ascii="Times New Roman" w:hAnsi="Times New Roman" w:cs="Times New Roman"/>
          <w:b w:val="0"/>
          <w:sz w:val="24"/>
          <w:szCs w:val="24"/>
        </w:rPr>
      </w:pPr>
      <w:bookmarkStart w:id="244" w:name="_Toc142753432"/>
      <w:bookmarkStart w:id="245" w:name="_Toc134604192"/>
      <w:r>
        <w:rPr>
          <w:rFonts w:ascii="Times New Roman" w:hAnsi="Times New Roman" w:cs="Times New Roman"/>
          <w:sz w:val="24"/>
          <w:szCs w:val="24"/>
        </w:rPr>
        <w:t>Nurses' attitude towards post-operative pain management.</w:t>
      </w:r>
      <w:bookmarkEnd w:id="244"/>
      <w:bookmarkEnd w:id="245"/>
    </w:p>
    <w:p>
      <w:pPr>
        <w:spacing w:line="480" w:lineRule="auto"/>
        <w:ind w:firstLine="720"/>
        <w:jc w:val="both"/>
        <w:rPr>
          <w:rFonts w:ascii="Times New Roman" w:hAnsi="Times New Roman" w:cs="Times New Roman"/>
          <w:bCs/>
          <w:color w:val="000000" w:themeColor="text1"/>
          <w:sz w:val="24"/>
          <w:szCs w:val="24"/>
          <w14:textFill>
            <w14:solidFill>
              <w14:schemeClr w14:val="tx1"/>
            </w14:solidFill>
          </w14:textFill>
        </w:rPr>
      </w:pPr>
      <w:r>
        <w:rPr>
          <w:rFonts w:ascii="Times New Roman" w:hAnsi="Times New Roman" w:cs="Times New Roman"/>
          <w:bCs/>
          <w:sz w:val="24"/>
          <w:szCs w:val="24"/>
        </w:rPr>
        <w:t>In studies, nurses have stated a lack of emotional interest in pain and a perception that pain is a normal component of a person's state. Carolyn (2017) claims is a compelling case for a general lack of interest on the part of nurses in alleviating suffering.</w:t>
      </w:r>
      <w:r>
        <w:rPr>
          <w:rFonts w:ascii="Times New Roman" w:hAnsi="Times New Roman" w:cs="Times New Roman"/>
          <w:color w:val="000000" w:themeColor="text1"/>
          <w:sz w:val="24"/>
          <w:szCs w:val="24"/>
          <w14:textFill>
            <w14:solidFill>
              <w14:schemeClr w14:val="tx1"/>
            </w14:solidFill>
          </w14:textFill>
        </w:rPr>
        <w:t xml:space="preserve"> In this survey, nearly all of the respondents opposed the above statement by strongly disagreeing with the statement that patients complaining of pain wasn’t their priority which displayed a good attitude.  The present study, huge percentage of participants were against the opinion of women having exaggerated post-operative pain during assessment thus confirming pain being a subjective and discouraging generalization of patients' care for proper managing post-surgical pain. It will require ongoing training to strengthen the optimistic outlook toward post-operative pain management (Faithfull-Byrne, 2017).</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Grounding on the survey, the results of this study showed an unacceptable attitude towards post-operative pain management when most participants admitted to waiting a while longer till the next dose of analgesia is being administered to a post-operative patient in pain. This did not align with the findings of other researchers who also found that the majority of respondents didn’t agree with the statement of waiting a while longer till the next dose for a post-operative patient in pain without administration of any analgesic</w:t>
      </w:r>
      <w:r>
        <w:rPr>
          <w:rFonts w:ascii="Times New Roman" w:hAnsi="Times New Roman" w:cs="Times New Roman"/>
          <w:bCs/>
          <w:color w:val="000000" w:themeColor="text1"/>
          <w:sz w:val="24"/>
          <w:szCs w:val="24"/>
          <w14:textFill>
            <w14:solidFill>
              <w14:schemeClr w14:val="tx1"/>
            </w14:solidFill>
          </w14:textFill>
        </w:rPr>
        <w:t xml:space="preserve"> </w:t>
      </w:r>
      <w:r>
        <w:rPr>
          <w:rFonts w:ascii="Times New Roman" w:hAnsi="Times New Roman" w:cs="Times New Roman"/>
          <w:bCs/>
          <w:color w:val="000000" w:themeColor="text1"/>
          <w:sz w:val="24"/>
          <w:szCs w:val="24"/>
          <w14:textFill>
            <w14:solidFill>
              <w14:schemeClr w14:val="tx1"/>
            </w14:solidFill>
          </w14:textFill>
        </w:rPr>
        <w:fldChar w:fldCharType="begin" w:fldLock="1"/>
      </w:r>
      <w:r>
        <w:rPr>
          <w:rFonts w:ascii="Times New Roman" w:hAnsi="Times New Roman" w:cs="Times New Roman"/>
          <w:bCs/>
          <w:color w:val="000000" w:themeColor="text1"/>
          <w:sz w:val="24"/>
          <w:szCs w:val="24"/>
          <w14:textFill>
            <w14:solidFill>
              <w14:schemeClr w14:val="tx1"/>
            </w14:solidFill>
          </w14:textFill>
        </w:rPr>
        <w:instrText xml:space="preserve">ADDIN CSL_CITATION {"citationItems":[{"id":"ITEM-1","itemData":{"DOI":"10.3390/healthcare10030528","ISSN":"22279032","abstract":"Inadequate pain management affects the patient outcome. Pain assessment and management are fundamental in nursing care, and nurses must be equipped with adequate knowledge and a positive attitude toward pain assessment and management. This study aims to evaluate nurses’ knowledge and attitudes regarding pain assessment and management at King Fahad Hospital, Al‐Madinah, Kingdom of Saudi Arabia. A quantitative, cross‐sectional survey, using a self‐administered questionnaire, was conducted from January to February 2020 with 660 registered nurses working in the Emergency Department, critical care units, inpatient and outpatient departments at King Fahad Hospital in Al‐Medinah, Kingdom of Saudi Arabia. The data were analyzed with descriptive and inferential statistics. Of the 660 nurses, 291 responded, resulting in a response rate of 44.09%. The participants’ scores ranged from 17.7% to 100%, with a mean score 45.29%. The majority of the participants (70.1%) had a poor level of knowledge and attitudes (score &lt;50%). Nurses working in the outpatient department scored significantly higher than the group working in the Emergency Department and inpatient wards. Deficient knowledge and negative attitudes were found and nurses continue to underassess and undertreat pain. Nursing school curricula and in‐service continuous education must equip nurses with the required knowledge and attitudes to enable them to manage pain effectively.","author":[{"dropping-particle":"","family":"Al‐sayaghi","given":"Khaled M.","non-dropping-particle":"","parse-names":false,"suffix":""},{"dropping-particle":"","family":"Fadlalmola","given":"Hammad A.","non-dropping-particle":"","parse-names":false,"suffix":""},{"dropping-particle":"","family":"Aljohani","given":"Wael A.","non-dropping-particle":"","parse-names":false,"suffix":""},{"dropping-particle":"","family":"Alenezi","given":"Ali M.","non-dropping-particle":"","parse-names":false,"suffix":""},{"dropping-particle":"","family":"Aljohani","given":"Dalal T.","non-dropping-particle":"","parse-names":false,"suffix":""},{"dropping-particle":"","family":"Aljohani","given":"Thana A.","non-dropping-particle":"","parse-names":false,"suffix":""},{"dropping-particle":"","family":"Alsaleh","given":"Sameer A.","non-dropping-particle":"","parse-names":false,"suffix":""},{"dropping-particle":"","family":"Aljohani","given":"Khalid A.","non-dropping-particle":"","parse-names":false,"suffix":""},{"dropping-particle":"","family":"Aljohani","given":"Mohammed S.","non-dropping-particle":"","parse-names":false,"suffix":""},{"dropping-particle":"","family":"Alzahrani","given":"Naif S.","non-dropping-particle":"","parse-names":false,"suffix":""},{"dropping-particle":"","family":"Alamri","given":"Ayman A.","non-dropping-particle":"","parse-names":false,"suffix":""},{"dropping-particle":"","family":"Alhousah","given":"Amraa H.","non-dropping-particle":"","parse-names":false,"suffix":""},{"dropping-particle":"","family":"Khan","given":"Mumtaz F.","non-dropping-particle":"","parse-names":false,"suffix":""}],"container-title":"Healthcare (Switzerland)","id":"ITEM-1","issue":"3","issued":{"date-parts":[["2022"]]},"title":"Nurses’ Knowledge and Attitudes Regarding Pain Assessment and Management in Saudi Arabia","type":"article-journal","volume":"10"},"uris":["http://www.mendeley.com/documents/?uuid=4ff8370f-9909-4211-b8a1-cb5556f8a61b"]}],"mendeley":{"formattedCitation":"(Al‐sayaghi et al., 2022)","plainTextFormattedCitation":"(Al‐sayaghi et al., 2022)","previouslyFormattedCitation":"(Al‐sayaghi et al., 2022)"},"properties":{"noteIndex":0},"schema":"https://github.com/citation-style-language/schema/raw/master/csl-citation.json"}</w:instrText>
      </w:r>
      <w:r>
        <w:rPr>
          <w:rFonts w:ascii="Times New Roman" w:hAnsi="Times New Roman" w:cs="Times New Roman"/>
          <w:bCs/>
          <w:color w:val="000000" w:themeColor="text1"/>
          <w:sz w:val="24"/>
          <w:szCs w:val="24"/>
          <w14:textFill>
            <w14:solidFill>
              <w14:schemeClr w14:val="tx1"/>
            </w14:solidFill>
          </w14:textFill>
        </w:rPr>
        <w:fldChar w:fldCharType="separate"/>
      </w:r>
      <w:r>
        <w:rPr>
          <w:rFonts w:ascii="Times New Roman" w:hAnsi="Times New Roman" w:cs="Times New Roman"/>
          <w:bCs/>
          <w:color w:val="000000" w:themeColor="text1"/>
          <w:sz w:val="24"/>
          <w:szCs w:val="24"/>
          <w14:textFill>
            <w14:solidFill>
              <w14:schemeClr w14:val="tx1"/>
            </w14:solidFill>
          </w14:textFill>
        </w:rPr>
        <w:t>(Al‐sayaghi et al., 2022)</w:t>
      </w:r>
      <w:r>
        <w:rPr>
          <w:rFonts w:ascii="Times New Roman" w:hAnsi="Times New Roman" w:cs="Times New Roman"/>
          <w:bCs/>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sz w:val="24"/>
          <w:szCs w:val="24"/>
          <w14:textFill>
            <w14:solidFill>
              <w14:schemeClr w14:val="tx1"/>
            </w14:solidFill>
          </w14:textFill>
        </w:rPr>
        <w:t xml:space="preserve">. Uncontrolled post-operative pain may call for a prolonged hospital stay and poor health outcomes </w:t>
      </w:r>
      <w:r>
        <w:rPr>
          <w:rFonts w:ascii="Times New Roman" w:hAnsi="Times New Roman" w:cs="Times New Roman"/>
          <w:bCs/>
          <w:color w:val="000000" w:themeColor="text1"/>
          <w:sz w:val="24"/>
          <w:szCs w:val="24"/>
          <w14:textFill>
            <w14:solidFill>
              <w14:schemeClr w14:val="tx1"/>
            </w14:solidFill>
          </w14:textFill>
        </w:rPr>
        <w:fldChar w:fldCharType="begin" w:fldLock="1"/>
      </w:r>
      <w:r>
        <w:rPr>
          <w:rFonts w:ascii="Times New Roman" w:hAnsi="Times New Roman" w:cs="Times New Roman"/>
          <w:bCs/>
          <w:color w:val="000000" w:themeColor="text1"/>
          <w:sz w:val="24"/>
          <w:szCs w:val="24"/>
          <w14:textFill>
            <w14:solidFill>
              <w14:schemeClr w14:val="tx1"/>
            </w14:solidFill>
          </w14:textFill>
        </w:rPr>
        <w:instrText xml:space="preserve">ADDIN CSL_CITATION {"citationItems":[{"id":"ITEM-1","itemData":{"DOI":"10.1185/03007995.2015.1092122","ISSN":"14734877","PMID":"26359332","abstract":"Poor management of post-operative acute pain can contribute to medical complications including pneumonia, deep vein thrombosis, infection and delayed healing, as well as the development of chronic pain. It is therefore important that all patients undergoing surgery should receive adequate pain management. However, evidence suggests this is not currently the case; between 10% and 50% of patients develop chronic pain after various common operations, and one recent US study recorded &gt;80% of patients experiencing post-operative pain.At the first meeting of the acute chapter of the Change Pain Advisory Board, key priorities for improving post-operative pain management were identified in four different areas. Firstly, patients should be more involved in decisions regarding their own treatment, particularly when fateful alternatives are being considered. For this to be meaningful, relevant information should be provided so they are well informed about the various options available. Good physician/patient communication is also essential. Secondly, better professional education and training of the various members of the multidisciplinary pain management team would enhance their skills and knowledge, and thereby improve patient care. Thirdly, there is scope for optimizing treatment. Examples include the use of synergistic analgesia to target pain at different points along pain pathways, more widespread adoption of patient-controlled analgesia, and the use of minimally invasive rather than open surgery. Fourthly, organizational change could provide similar benefits; introducing acute pain services and increasing their availability towards the 24 hours/day ideal, greater adherence to protocols, increased use of patient-reported outcomes, and greater receptivity to technological advances would all help to enhance performance and increase patient satisfaction. It must be acknowledged that implementing these recommendations would incur a considerable cost that purchasers of healthcare may be unwilling or unable to finance. Nevertheless, change is under way and the political will exists for it to continue.","author":[{"dropping-particle":"","family":"Meissner","given":"Winfried","non-dropping-particle":"","parse-names":false,"suffix":""},{"dropping-particle":"","family":"Coluzzi","given":"Flaminia","non-dropping-particle":"","parse-names":false,"suffix":""},{"dropping-particle":"","family":"Fletcher","given":"Dominique","non-dropping-particle":"","parse-names":false,"suffix":""},{"dropping-particle":"","family":"Huygen","given":"Frank","non-dropping-particle":"","parse-names":false,"suffix":""},{"dropping-particle":"","family":"Morlion","given":"Bart","non-dropping-particle":"","parse-names":false,"suffix":""},{"dropping-particle":"","family":"Neugebauer","given":"Edmund","non-dropping-particle":"","parse-names":false,"suffix":""},{"dropping-particle":"","family":"Pérez","given":"Antonio Montes","non-dropping-particle":"","parse-names":false,"suffix":""},{"dropping-particle":"","family":"Pergolizzi","given":"Joseph","non-dropping-particle":"","parse-names":false,"suffix":""}],"container-title":"Current Medical Research and Opinion","id":"ITEM-1","issue":"11","issued":{"date-parts":[["2015"]]},"page":"2131-2143","title":"Improving the management of post-operative acute pain: Priorities for change","type":"article-journal","volume":"31"},"uris":["http://www.mendeley.com/documents/?uuid=3e2df8e0-0101-4102-8fba-83cb7b481d4d"]}],"mendeley":{"formattedCitation":"(Meissner et al., 2015)","plainTextFormattedCitation":"(Meissner et al., 2015)","previouslyFormattedCitation":"(Meissner et al., 2015)"},"properties":{"noteIndex":0},"schema":"https://github.com/citation-style-language/schema/raw/master/csl-citation.json"}</w:instrText>
      </w:r>
      <w:r>
        <w:rPr>
          <w:rFonts w:ascii="Times New Roman" w:hAnsi="Times New Roman" w:cs="Times New Roman"/>
          <w:bCs/>
          <w:color w:val="000000" w:themeColor="text1"/>
          <w:sz w:val="24"/>
          <w:szCs w:val="24"/>
          <w14:textFill>
            <w14:solidFill>
              <w14:schemeClr w14:val="tx1"/>
            </w14:solidFill>
          </w14:textFill>
        </w:rPr>
        <w:fldChar w:fldCharType="separate"/>
      </w:r>
      <w:r>
        <w:rPr>
          <w:rFonts w:ascii="Times New Roman" w:hAnsi="Times New Roman" w:cs="Times New Roman"/>
          <w:bCs/>
          <w:color w:val="000000" w:themeColor="text1"/>
          <w:sz w:val="24"/>
          <w:szCs w:val="24"/>
          <w14:textFill>
            <w14:solidFill>
              <w14:schemeClr w14:val="tx1"/>
            </w14:solidFill>
          </w14:textFill>
        </w:rPr>
        <w:t>(Meissner et al., 2015)</w:t>
      </w:r>
      <w:r>
        <w:rPr>
          <w:rFonts w:ascii="Times New Roman" w:hAnsi="Times New Roman" w:cs="Times New Roman"/>
          <w:bCs/>
          <w:color w:val="000000" w:themeColor="text1"/>
          <w:sz w:val="24"/>
          <w:szCs w:val="24"/>
          <w14:textFill>
            <w14:solidFill>
              <w14:schemeClr w14:val="tx1"/>
            </w14:solidFill>
          </w14:textFill>
        </w:rPr>
        <w:fldChar w:fldCharType="end"/>
      </w:r>
      <w:r>
        <w:rPr>
          <w:rFonts w:ascii="Times New Roman" w:hAnsi="Times New Roman" w:cs="Times New Roman"/>
          <w:bCs/>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t>Therefore, the unacceptable attitude needs to be handled as soon as being identified for quality care.</w:t>
      </w:r>
    </w:p>
    <w:p>
      <w:pPr>
        <w:spacing w:line="480" w:lineRule="auto"/>
        <w:ind w:firstLine="720"/>
        <w:jc w:val="both"/>
        <w:rPr>
          <w:rFonts w:ascii="Times New Roman" w:hAnsi="Times New Roman" w:cs="Times New Roman"/>
          <w:b/>
          <w:sz w:val="24"/>
          <w:szCs w:val="24"/>
          <w:shd w:val="clear" w:color="auto" w:fill="FFFFFF"/>
        </w:rPr>
      </w:pPr>
      <w:r>
        <w:rPr>
          <w:rFonts w:ascii="Times New Roman" w:hAnsi="Times New Roman" w:cs="Times New Roman"/>
          <w:color w:val="000000" w:themeColor="text1"/>
          <w:sz w:val="24"/>
          <w:szCs w:val="24"/>
          <w14:textFill>
            <w14:solidFill>
              <w14:schemeClr w14:val="tx1"/>
            </w14:solidFill>
          </w14:textFill>
        </w:rPr>
        <w:t>Since most respondents in this study concur with the statement that visual evaluation of the patient reporting pain affects their response and management of POP, unacceptable attitudes regarding pain assessment continue to emerge. Assessment of postoperative pain is hampered by this. According to research, pain is the fifth vital sign and demands constant evaluation and prompt treatment</w:t>
      </w:r>
      <w:r>
        <w:rPr>
          <w:rFonts w:ascii="Times New Roman" w:hAnsi="Times New Roman" w:cs="Times New Roman"/>
          <w:b/>
          <w:sz w:val="24"/>
          <w:szCs w:val="24"/>
          <w:shd w:val="clear" w:color="auto" w:fill="FFFFFF"/>
        </w:rPr>
        <w:fldChar w:fldCharType="begin" w:fldLock="1"/>
      </w:r>
      <w:r>
        <w:rPr>
          <w:rFonts w:ascii="Times New Roman" w:hAnsi="Times New Roman" w:cs="Times New Roman"/>
          <w:b/>
          <w:sz w:val="24"/>
          <w:szCs w:val="24"/>
          <w:shd w:val="clear" w:color="auto" w:fill="FFFFFF"/>
        </w:rPr>
        <w:instrText xml:space="preserve">ADDIN CSL_CITATION {"citationItems":[{"id":"ITEM-1","itemData":{"author":[{"dropping-particle":"","family":"Naresh Manandhar1,* , Isha Amatya1, Arundhati Gautam2 , Gaurav Kumar2 , Himanshu Ahlawat2 , Nitesh Adhikari2","given":"Pawan Kumar Mahaseth2","non-dropping-particle":"","parse-names":false,"suffix":""},{"dropping-particle":"","family":"¹Department","given":"","non-dropping-particle":"","parse-names":false,"suffix":""}],"id":"ITEM-1","issue":"1","issued":{"date-parts":[["2020"]]},"page":"53-56","title":"Original Research Article Nurses ’ Knowledge , Attitude and Practice Regarding Postoperative Pain Management At","type":"article-journal","volume":"10"},"uris":["http://www.mendeley.com/documents/?uuid=af82b783-6433-4fb5-9296-30e0cdbc1ef8"]}],"mendeley":{"formattedCitation":"(Naresh Manandhar1,* , Isha Amatya1, Arundhati Gautam2 , Gaurav Kumar2 , Himanshu Ahlawat2 , Nitesh Adhikari2 &amp; &lt;sup&gt;1&lt;/sup&gt;Department, 2020)","manualFormatting":"(Thapa &amp; Gurung, 2020).  \r ,","plainTextFormattedCitation":"(Naresh Manandhar1,* , Isha Amatya1, Arundhati Gautam2 , Gaurav Kumar2 , Himanshu Ahlawat2 , Nitesh Adhikari2 &amp; 1Department, 2020)","previouslyFormattedCitation":"(Naresh Manandhar1,* , Isha Amatya1, Arundhati Gautam2 , Gaurav Kumar2 , Himanshu Ahlawat2 , Nitesh Adhikari2 &amp; &lt;sup&gt;1&lt;/sup&gt;Department, 2020)"},"properties":{"noteIndex":0},"schema":"https://github.com/citation-style-language/schema/raw/master/csl-citation.json"}</w:instrText>
      </w:r>
      <w:r>
        <w:rPr>
          <w:rFonts w:ascii="Times New Roman" w:hAnsi="Times New Roman" w:cs="Times New Roman"/>
          <w:b/>
          <w:sz w:val="24"/>
          <w:szCs w:val="24"/>
          <w:shd w:val="clear" w:color="auto" w:fill="FFFFFF"/>
        </w:rPr>
        <w:fldChar w:fldCharType="separate"/>
      </w:r>
      <w:r>
        <w:rPr>
          <w:rFonts w:ascii="Times New Roman" w:hAnsi="Times New Roman" w:cs="Times New Roman"/>
          <w:bCs/>
          <w:sz w:val="24"/>
          <w:szCs w:val="24"/>
          <w:shd w:val="clear" w:color="auto" w:fill="FFFFFF"/>
        </w:rPr>
        <w:t xml:space="preserve">(Thapa &amp; Gurung, 2020).  </w:t>
      </w:r>
    </w:p>
    <w:p>
      <w:pPr>
        <w:spacing w:line="480" w:lineRule="auto"/>
        <w:ind w:firstLine="720"/>
        <w:jc w:val="both"/>
        <w:rPr>
          <w:rFonts w:ascii="Times New Roman" w:hAnsi="Times New Roman" w:cs="Times New Roman"/>
          <w:bCs/>
          <w:sz w:val="24"/>
          <w:szCs w:val="24"/>
          <w:shd w:val="clear" w:color="auto" w:fill="FFFFFF"/>
        </w:rPr>
      </w:pPr>
      <w:r>
        <w:rPr>
          <w:rFonts w:ascii="Times New Roman" w:hAnsi="Times New Roman" w:cs="Times New Roman"/>
          <w:b/>
          <w:sz w:val="24"/>
          <w:szCs w:val="24"/>
          <w:shd w:val="clear" w:color="auto" w:fill="FFFFFF"/>
        </w:rPr>
        <w:t xml:space="preserve"> </w:t>
      </w:r>
      <w:r>
        <w:rPr>
          <w:rFonts w:ascii="Times New Roman" w:hAnsi="Times New Roman" w:cs="Times New Roman"/>
          <w:b/>
          <w:sz w:val="24"/>
          <w:szCs w:val="24"/>
          <w:shd w:val="clear" w:color="auto" w:fill="FFFFFF"/>
        </w:rPr>
        <w:fldChar w:fldCharType="end"/>
      </w:r>
      <w:r>
        <w:rPr>
          <w:rFonts w:ascii="Times New Roman" w:hAnsi="Times New Roman" w:cs="Times New Roman"/>
          <w:sz w:val="24"/>
          <w:szCs w:val="24"/>
        </w:rPr>
        <w:t xml:space="preserve">Additionally, most survey participants accurately noted that patients' spiritual beliefs may affect how they perceive pain. Curry (2010) claimed that each individual has a unique cultural perspective and that nurses tending to patients who are in pain need to be mindful of any opposing influences, such as spiritual and religious views. This result is congruent with Samarkandi (2018) who reported that the participants accurately accepted that some religious beliefs might influence patients' perceptions of the necessity of suffering. Therefore, pain assessment is vital in making pain evident for patients who for some reason may be culturally certain not to reflect pain </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 xml:space="preserve">ADDIN CSL_CITATION {"citationItems":[{"id":"ITEM-1","itemData":{"DOI":"10.1177/2158244020924377","ISSN":"21582440","abstract":"The aim of the study was to investigate surgical patients’ pain experience and the quality of nursing care in managing acute postoperative pain. A descriptive cross-sectional study using a Strategic and Clinical Quality Indicators in Postoperative Pain Management Questionnaire collected data of 247 patients who underwent surgery in the surgical clinics of a state hospital. Data of 141 patients were included in the analysis. The mean scores for the scale items indicated that the quality of care was acceptable or low. The level of postoperative care, nursing interventions, and environmental subscales of the questionnaire were at an acceptable level, but pain management subscales of the questionnaire were low. These results suggest that health care, including measurable, applicable quality indicators, should be planned and evaluated to maintain professional nursing services, to achieve postoperative pain management and to relieve pain.","author":[{"dropping-particle":"","family":"Köse Tamer","given":"Laika","non-dropping-particle":"","parse-names":false,"suffix":""},{"dropping-particle":"","family":"Sucu Dağ","given":"Gülten","non-dropping-particle":"","parse-names":false,"suffix":""}],"container-title":"SAGE Open","id":"ITEM-1","issue":"2","issued":{"date-parts":[["2020"]]},"title":"The Assessment of Pain and the Quality of Postoperative Pain Management in Surgical Patients","type":"article-journal","volume":"10"},"uris":["http://www.mendeley.com/documents/?uuid=ed2fcb09-8a2b-42b7-b62f-f418152b53b9"]}],"mendeley":{"formattedCitation":"(Köse Tamer &amp; Sucu Dağ, 2020)","plainTextFormattedCitation":"(Köse Tamer &amp; Sucu Dağ, 2020)","previouslyFormattedCitation":"(Köse Tamer &amp; Sucu Dağ, 2020)"},"properties":{"noteIndex":0},"schema":"https://github.com/citation-style-language/schema/raw/master/csl-citation.json"}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sz w:val="24"/>
          <w:szCs w:val="24"/>
        </w:rPr>
        <w:t>(Köse Tamer &amp; Sucu Dağ, 2020)</w:t>
      </w:r>
      <w:r>
        <w:rPr>
          <w:rFonts w:ascii="Times New Roman" w:hAnsi="Times New Roman" w:cs="Times New Roman"/>
          <w:bCs/>
          <w:sz w:val="24"/>
          <w:szCs w:val="24"/>
        </w:rPr>
        <w:fldChar w:fldCharType="end"/>
      </w:r>
      <w:r>
        <w:rPr>
          <w:rFonts w:ascii="Times New Roman" w:hAnsi="Times New Roman" w:cs="Times New Roman"/>
          <w:bCs/>
          <w:sz w:val="24"/>
          <w:szCs w:val="24"/>
        </w:rPr>
        <w:t>.</w:t>
      </w:r>
    </w:p>
    <w:p>
      <w:pPr>
        <w:pStyle w:val="3"/>
        <w:spacing w:line="480" w:lineRule="auto"/>
        <w:rPr>
          <w:rFonts w:ascii="Times New Roman" w:hAnsi="Times New Roman" w:cs="Times New Roman"/>
          <w:sz w:val="24"/>
          <w:szCs w:val="24"/>
        </w:rPr>
      </w:pPr>
      <w:bookmarkStart w:id="246" w:name="_Toc134604193"/>
      <w:bookmarkStart w:id="247" w:name="_Toc142753433"/>
      <w:r>
        <w:rPr>
          <w:rFonts w:ascii="Times New Roman" w:hAnsi="Times New Roman" w:cs="Times New Roman"/>
          <w:bCs/>
          <w:sz w:val="24"/>
          <w:szCs w:val="24"/>
        </w:rPr>
        <w:t>Nurses’ Practice in the</w:t>
      </w:r>
      <w:r>
        <w:rPr>
          <w:rFonts w:ascii="Times New Roman" w:hAnsi="Times New Roman" w:cs="Times New Roman"/>
          <w:sz w:val="24"/>
          <w:szCs w:val="24"/>
        </w:rPr>
        <w:t xml:space="preserve"> Management of Post–Operative Pain</w:t>
      </w:r>
      <w:bookmarkEnd w:id="246"/>
      <w:bookmarkEnd w:id="247"/>
    </w:p>
    <w:p>
      <w:pPr>
        <w:pStyle w:val="4"/>
        <w:spacing w:line="480" w:lineRule="auto"/>
        <w:ind w:firstLine="720"/>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D0D0D" w:themeColor="text1" w:themeTint="F2"/>
          <w14:textFill>
            <w14:solidFill>
              <w14:schemeClr w14:val="tx1">
                <w14:lumMod w14:val="95000"/>
                <w14:lumOff w14:val="5000"/>
              </w14:schemeClr>
            </w14:solidFill>
          </w14:textFill>
        </w:rPr>
        <w:t xml:space="preserve">Following the educational intervention of introducing the pain assessment scale into nursing practice, it was discovered that postoperative pain management practices on surgical wards had significantly improved. The results showed a positive effect on nursing practice for example, </w:t>
      </w:r>
      <w:r>
        <w:rPr>
          <w:rFonts w:ascii="Times New Roman" w:hAnsi="Times New Roman" w:cs="Times New Roman"/>
          <w:color w:val="000000" w:themeColor="text1"/>
          <w14:textFill>
            <w14:solidFill>
              <w14:schemeClr w14:val="tx1"/>
            </w14:solidFill>
          </w14:textFill>
        </w:rPr>
        <w:t>majority of responders were able to use the PQRST to evaluate post-operative pain.</w:t>
      </w:r>
      <w:r>
        <w:rPr>
          <w:rFonts w:ascii="Times New Roman" w:hAnsi="Times New Roman" w:cs="Times New Roman"/>
        </w:rPr>
        <w:t xml:space="preserve"> </w:t>
      </w:r>
    </w:p>
    <w:p>
      <w:pPr>
        <w:pStyle w:val="4"/>
        <w:spacing w:line="480" w:lineRule="auto"/>
        <w:ind w:firstLine="720"/>
        <w:rPr>
          <w:rFonts w:ascii="Times New Roman" w:hAnsi="Times New Roman" w:eastAsia="Times New Roman" w:cs="Times New Roman"/>
          <w:color w:val="000000"/>
          <w:lang w:eastAsia="ja-JP"/>
        </w:rPr>
      </w:pPr>
      <w:r>
        <w:rPr>
          <w:rFonts w:ascii="Times New Roman" w:hAnsi="Times New Roman" w:cs="Times New Roman"/>
          <w:color w:val="000000" w:themeColor="text1"/>
          <w14:textFill>
            <w14:solidFill>
              <w14:schemeClr w14:val="tx1"/>
            </w14:solidFill>
          </w14:textFill>
        </w:rPr>
        <w:t xml:space="preserve"> </w:t>
      </w:r>
      <w:r>
        <w:rPr>
          <w:rFonts w:ascii="Times New Roman" w:hAnsi="Times New Roman" w:eastAsia="Times New Roman" w:cs="Times New Roman"/>
          <w:color w:val="000000"/>
          <w:lang w:eastAsia="ja-JP"/>
        </w:rPr>
        <w:t xml:space="preserve">According to the study findings a sizeable number of respondents documented the treatment modality for pain.  Inline, Dessie et al. (2019) documentation facilitates therapy, helps with staff communication, and is essential for effective post-operative pain management. </w:t>
      </w:r>
      <w:r>
        <w:rPr>
          <w:rFonts w:ascii="Times New Roman" w:hAnsi="Times New Roman" w:cs="Times New Roman"/>
          <w:color w:val="000000" w:themeColor="text1"/>
          <w14:textFill>
            <w14:solidFill>
              <w14:schemeClr w14:val="tx1"/>
            </w14:solidFill>
          </w14:textFill>
        </w:rPr>
        <w:t xml:space="preserve">One of the most important aspects of effective pain treatment is the use of pain assessment instruments. This is in line with </w:t>
      </w:r>
      <w:r>
        <w:rPr>
          <w:rFonts w:ascii="Times New Roman" w:hAnsi="Times New Roman" w:cs="Times New Roman"/>
          <w:bCs/>
          <w:color w:val="000000" w:themeColor="text1"/>
          <w14:textFill>
            <w14:solidFill>
              <w14:schemeClr w14:val="tx1"/>
            </w14:solidFill>
          </w14:textFill>
        </w:rPr>
        <w:fldChar w:fldCharType="begin" w:fldLock="1"/>
      </w:r>
      <w:r>
        <w:rPr>
          <w:rFonts w:ascii="Times New Roman" w:hAnsi="Times New Roman" w:cs="Times New Roman"/>
          <w:bCs/>
          <w:color w:val="000000" w:themeColor="text1"/>
          <w14:textFill>
            <w14:solidFill>
              <w14:schemeClr w14:val="tx1"/>
            </w14:solidFill>
          </w14:textFill>
        </w:rPr>
        <w:instrText xml:space="preserve">ADDIN CSL_CITATION {"citationItems":[{"id":"ITEM-1","itemData":{"abstract":"Background: Pain is the cardinal symptom common to diverse disease conditions and it is what drives many patients to seek treatment. It, therefore, commands a central position in health seeking behavior. In the post-operative period, the main concern about pain is not only the suffering it causes, but also because of its negative effects on the process of recovery. Its management has, however, remained a major challenge. Numerous myths and insufficient knowledge of pain assessment, measurement and treatment contribute to the challenges encountered by health providers in their service to patients. This study was aimed at determining the knowledge and practices among clinicians who manage postsurgical pain in a hospital setting at The Moi Teaching and Referral Hospital (MTRH) in Eldoret, Kenya. It was a cross-sectional survey. Methods: The study population consisted of Nurses, Clinical Officers and Doctors working in the post-operative areas at MTRH. A standardized questionnaire was administered to 236 hospital – based clinicians including medical doctors, nurses and clinical officers. The questionnaire consisted of diverse objective questions set according to internationally recognized pain assessment instruments. Results: Among the 236 health care professionals who were included in the study, 38 (16%) were doctors, 170 (72%) nurses and 28 (12%) clinical officers. On average the duration of time since they were engaged as healthcare providers was 9.3 years (SD=+6.7yrs). Almost all (96%) confirmed that they routinely managed post-operative pain. Clinicians who indicated that they had knowledge on how to assess and manage postoperative pain constituted 88%. Among doctors, 54% felt that they had sufficient knowledge to recognize and manage post-operative pain while the proportions of nurses and clinical officers were 41% and 43% respectively. Fifty seven percent of the participants indicated that they had inadequate knowledge regarding the tools that may be employed for pain assessment and measurement. Those who had never had any formal teaching in relation to pain evaluation and management constituted 21%. Conclusion: Overall, a significant proportion of clinicians indicated an inadequacy of knowledge regarding objective evaluation and management of post-operative pain.","author":[{"dropping-particle":"","family":"Kituyi W.P, Imbaya K.K, Wambani J.O, Sisenda T.M","given":"Kiremu R.T.","non-dropping-particle":"","parse-names":false,"suffix":""}],"container-title":"East and Central African Journal of Surgery","id":"ITEM-1","issue":"2","issued":{"date-parts":[["2011"]]},"title":"Postoperative Pain Management: Clinicians’ Knowledge and Practices on Assessment and Measurement at Moi Teaching and Referral Hospital.","type":"article-journal","volume":"16"},"uris":["http://www.mendeley.com/documents/?uuid=42acaa01-8ddc-4a59-9c6b-cb8567b895ae"]}],"mendeley":{"formattedCitation":"(Kituyi W.P, Imbaya K.K, Wambani J.O, Sisenda T.M, 2011)","manualFormatting":"Kituyi et al. (2011)","plainTextFormattedCitation":"(Kituyi W.P, Imbaya K.K, Wambani J.O, Sisenda T.M, 2011)","previouslyFormattedCitation":"(Kituyi W.P, Imbaya K.K, Wambani J.O, Sisenda T.M, 2011)"},"properties":{"noteIndex":0},"schema":"https://github.com/citation-style-language/schema/raw/master/csl-citation.json"}</w:instrText>
      </w:r>
      <w:r>
        <w:rPr>
          <w:rFonts w:ascii="Times New Roman" w:hAnsi="Times New Roman" w:cs="Times New Roman"/>
          <w:bCs/>
          <w:color w:val="000000" w:themeColor="text1"/>
          <w14:textFill>
            <w14:solidFill>
              <w14:schemeClr w14:val="tx1"/>
            </w14:solidFill>
          </w14:textFill>
        </w:rPr>
        <w:fldChar w:fldCharType="separate"/>
      </w:r>
      <w:r>
        <w:rPr>
          <w:rFonts w:ascii="Times New Roman" w:hAnsi="Times New Roman" w:cs="Times New Roman"/>
          <w:bCs/>
          <w:color w:val="000000" w:themeColor="text1"/>
          <w14:textFill>
            <w14:solidFill>
              <w14:schemeClr w14:val="tx1"/>
            </w14:solidFill>
          </w14:textFill>
        </w:rPr>
        <w:t>Kituyi et al. (2011)</w:t>
      </w:r>
      <w:r>
        <w:rPr>
          <w:rFonts w:ascii="Times New Roman" w:hAnsi="Times New Roman" w:cs="Times New Roman"/>
          <w:bCs/>
          <w:color w:val="000000" w:themeColor="text1"/>
          <w14:textFill>
            <w14:solidFill>
              <w14:schemeClr w14:val="tx1"/>
            </w14:solidFill>
          </w14:textFill>
        </w:rPr>
        <w:fldChar w:fldCharType="end"/>
      </w:r>
      <w:r>
        <w:rPr>
          <w:rFonts w:ascii="Times New Roman" w:hAnsi="Times New Roman" w:cs="Times New Roman"/>
          <w:bCs/>
          <w:color w:val="000000" w:themeColor="text1"/>
          <w14:textFill>
            <w14:solidFill>
              <w14:schemeClr w14:val="tx1"/>
            </w14:solidFill>
          </w14:textFill>
        </w:rPr>
        <w:t xml:space="preserve"> who claimed that inadequate pain assessment strategies have been blamed for impeding patients' ability to manage their pain effectively. </w:t>
      </w:r>
      <w:r>
        <w:rPr>
          <w:rFonts w:ascii="Times New Roman" w:hAnsi="Times New Roman" w:cs="Times New Roman"/>
          <w:color w:val="000000" w:themeColor="text1"/>
          <w14:textFill>
            <w14:solidFill>
              <w14:schemeClr w14:val="tx1"/>
            </w14:solidFill>
          </w14:textFill>
        </w:rPr>
        <w:t xml:space="preserve">Therefore, it is imperative that medical facilities make sure all nurses </w:t>
      </w:r>
      <w:r>
        <w:rPr>
          <w:rFonts w:ascii="Times New Roman" w:hAnsi="Times New Roman" w:cs="Times New Roman"/>
          <w:color w:val="auto"/>
        </w:rPr>
        <w:t>caring for post-operative patients use the pain assessment scale. The results imply that the respondent may easily adopt to daily use of the post operative pain assessment scale (NRS) thus improving the quality of post operative care.</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 thorough assessment of the pain using standardized methods is the first step in effective pain management. This makes it easier to evaluate the success of the intercessions made in response to the various pain-alleviation needs of the patients. In most of the respondents, did not reassess pain level after intervention. The outcomes were consistent with those reported by Kaasalainen et al. (2007) who claimed that improper tool use resulted in an inaccurate estimate of the patient's discomfort. The patient's outcomes may be impacted by incorrect pain medication administration and misinterpretation of the patient's pain levels. The nurses are encouraged to carry out both pre and post pain assessments for quality care.</w:t>
      </w:r>
    </w:p>
    <w:p>
      <w:pPr>
        <w:autoSpaceDE w:val="0"/>
        <w:autoSpaceDN w:val="0"/>
        <w:adjustRightInd w:val="0"/>
        <w:spacing w:after="0" w:line="480" w:lineRule="auto"/>
        <w:contextualSpacing/>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 the current study a good number of respondent  did not document the impact of pain on functionality whereas a comprehensive evaluation of the patient and documentation makes therapy easier and aids in communication amongst medical staff  and also considered to be the first steps in proper pain management.</w:t>
      </w:r>
      <w:r>
        <w:rPr>
          <w:rFonts w:ascii="Times New Roman" w:hAnsi="Times New Roman" w:cs="Times New Roman"/>
          <w:bCs/>
          <w:color w:val="000000" w:themeColor="text1"/>
          <w:sz w:val="24"/>
          <w:szCs w:val="24"/>
          <w14:textFill>
            <w14:solidFill>
              <w14:schemeClr w14:val="tx1"/>
            </w14:solidFill>
          </w14:textFill>
        </w:rPr>
        <w:fldChar w:fldCharType="begin" w:fldLock="1"/>
      </w:r>
      <w:r>
        <w:rPr>
          <w:rFonts w:ascii="Times New Roman" w:hAnsi="Times New Roman" w:cs="Times New Roman"/>
          <w:bCs/>
          <w:color w:val="000000" w:themeColor="text1"/>
          <w:sz w:val="24"/>
          <w:szCs w:val="24"/>
          <w14:textFill>
            <w14:solidFill>
              <w14:schemeClr w14:val="tx1"/>
            </w14:solidFill>
          </w14:textFill>
        </w:rPr>
        <w:instrText xml:space="preserve">ADDIN CSL_CITATION {"citationItems":[{"id":"ITEM-1","itemData":{"DOI":"10.2147/prom.s234521","ISSN":"1179-271X","abstract":"Background: Pain management is one part of management in the postoperative period. The prevalence of moderate to severe postoperative pain and its functional interference is high in Ethiopian patients. In this study we aimed (1) to assess nurses' knowledge and attitudes regarding post-operative pain management; (2) to identify the factors of nurses' knowledge and attitudes. Method: A cross-sectional multicenter study was conducted. All nurses working in Amhara region referral hospitals were involved in the study. The Nurses' Knowledge and Attitudes Survey Regarding Pain (NKASRP) was used to measure the nurses' pain management knowledge and attitudes. Bivariable and multivariable logistic regression was used to identify factors associated with knowledge and attitude. Results: A total of 433 nurses were included. Of the total respondents, 90.6% of them had a bachelor's degree with work experience of between 1 to 5 years (58.5%). Only 76 (19.2%) participants got access to read journals and 66 (16.7%) had taken training regarding postoperative pain management. The results showed that 56.5% [95% CI= (51.6-61.3)] respondents had adequate knowledge and 8.9% [95% CI= (6.1-11.6)] of them had positive attitudes towards POP management. Higher level of education [AOR=8.2; CI= (2.51-26.83)], getting access to read journals [AOR =1.83; CI= (1.01-3.30)], and taking POP management training [AOR=8.63; CI= (3.67-20.28)] were statistically associated with adequate knowledge. Similarly, positive attitude towards postoperative pain management was associated with taking POP management training, available of pain management course in the curriculum, and getting access to read. Conclusion: Although more than half of nurses in the study area had adequate knowledge towards POP management, only a small number had a positive attitude. Taking POP management training and getting access to read journals were significantly associated with good knowledge and attitude towards POP management; therefore, regular in-service training and getting accessing reading materials (such as journals or articles) are recommended to enhance quality service to patients.","author":[{"dropping-particle":"","family":"Dessie","given":"Mengesha","non-dropping-particle":"","parse-names":false,"suffix":""},{"dropping-particle":"","family":"Asichale","given":"Agmuas","non-dropping-particle":"","parse-names":false,"suffix":""},{"dropping-particle":"","family":"Belayneh","given":"Tadesse","non-dropping-particle":"","parse-names":false,"suffix":""},{"dropping-particle":"","family":"Enyew","given":"Henos","non-dropping-particle":"","parse-names":false,"suffix":""},{"dropping-particle":"","family":"Hailekiros","given":"Amare","non-dropping-particle":"","parse-names":false,"suffix":""}],"container-title":"Patient Related Outcome Measures","id":"ITEM-1","issued":{"date-parts":[["2019"]]},"page":"395-403","title":"&lt;p&gt;Knowledge and Attitudes of Ethiopian Nursing Staff Regarding Post-Operative Pain Management: A Cross-Sectional Multicenter Study&lt;/p&gt;","type":"article-journal","volume":"Volume 10"},"uris":["http://www.mendeley.com/documents/?uuid=d0d3c093-8048-4b6c-9c49-d072ebc670dc"]}],"mendeley":{"formattedCitation":"(Dessie et al., 2019)","plainTextFormattedCitation":"(Dessie et al., 2019)","previouslyFormattedCitation":"(Dessie et al., 2019)"},"properties":{"noteIndex":0},"schema":"https://github.com/citation-style-language/schema/raw/master/csl-citation.json"}</w:instrText>
      </w:r>
      <w:r>
        <w:rPr>
          <w:rFonts w:ascii="Times New Roman" w:hAnsi="Times New Roman" w:cs="Times New Roman"/>
          <w:bCs/>
          <w:color w:val="000000" w:themeColor="text1"/>
          <w:sz w:val="24"/>
          <w:szCs w:val="24"/>
          <w14:textFill>
            <w14:solidFill>
              <w14:schemeClr w14:val="tx1"/>
            </w14:solidFill>
          </w14:textFill>
        </w:rPr>
        <w:fldChar w:fldCharType="separate"/>
      </w:r>
      <w:r>
        <w:rPr>
          <w:rFonts w:ascii="Times New Roman" w:hAnsi="Times New Roman" w:cs="Times New Roman"/>
          <w:bCs/>
          <w:color w:val="000000" w:themeColor="text1"/>
          <w:sz w:val="24"/>
          <w:szCs w:val="24"/>
          <w14:textFill>
            <w14:solidFill>
              <w14:schemeClr w14:val="tx1"/>
            </w14:solidFill>
          </w14:textFill>
        </w:rPr>
        <w:t>(Dessie et al., 2019)</w:t>
      </w:r>
      <w:r>
        <w:rPr>
          <w:rFonts w:ascii="Times New Roman" w:hAnsi="Times New Roman" w:cs="Times New Roman"/>
          <w:bCs/>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sz w:val="24"/>
          <w:szCs w:val="24"/>
          <w14:textFill>
            <w14:solidFill>
              <w14:schemeClr w14:val="tx1"/>
            </w14:solidFill>
          </w14:textFill>
        </w:rPr>
        <w:t xml:space="preserve">. </w:t>
      </w:r>
      <w:bookmarkStart w:id="248" w:name="_Toc142753434"/>
      <w:bookmarkStart w:id="249" w:name="_Toc134604194"/>
      <w:r>
        <w:rPr>
          <w:rFonts w:ascii="Times New Roman" w:hAnsi="Times New Roman" w:cs="Times New Roman"/>
          <w:color w:val="000000" w:themeColor="text1"/>
          <w:sz w:val="24"/>
          <w:szCs w:val="24"/>
          <w14:textFill>
            <w14:solidFill>
              <w14:schemeClr w14:val="tx1"/>
            </w14:solidFill>
          </w14:textFill>
        </w:rPr>
        <w:t>The findings could point to certain limitations in the pain assessment scale's ability to be used correctly.</w:t>
      </w:r>
    </w:p>
    <w:p>
      <w:pPr>
        <w:autoSpaceDE w:val="0"/>
        <w:autoSpaceDN w:val="0"/>
        <w:adjustRightInd w:val="0"/>
        <w:spacing w:after="0" w:line="480" w:lineRule="auto"/>
        <w:contextualSpacing/>
        <w:jc w:val="both"/>
        <w:rPr>
          <w:rFonts w:ascii="Times New Roman" w:hAnsi="Times New Roman" w:cs="Times New Roman"/>
          <w:b/>
          <w:bCs/>
          <w:sz w:val="24"/>
          <w:szCs w:val="24"/>
        </w:rPr>
      </w:pPr>
      <w:r>
        <w:rPr>
          <w:rFonts w:ascii="Times New Roman" w:hAnsi="Times New Roman" w:cs="Times New Roman"/>
          <w:b/>
          <w:bCs/>
          <w:sz w:val="24"/>
          <w:szCs w:val="24"/>
        </w:rPr>
        <w:t>Limitations of the Research</w:t>
      </w:r>
      <w:bookmarkEnd w:id="248"/>
      <w:bookmarkEnd w:id="249"/>
      <w:bookmarkStart w:id="250" w:name="_Toc142753435"/>
      <w:bookmarkStart w:id="251" w:name="_Toc134604195"/>
      <w:r>
        <w:rPr>
          <w:rFonts w:ascii="Times New Roman" w:hAnsi="Times New Roman" w:cs="Times New Roman"/>
          <w:b/>
          <w:bCs/>
          <w:sz w:val="24"/>
          <w:szCs w:val="24"/>
        </w:rPr>
        <w:t xml:space="preserve">. </w:t>
      </w:r>
    </w:p>
    <w:p>
      <w:pPr>
        <w:autoSpaceDE w:val="0"/>
        <w:autoSpaceDN w:val="0"/>
        <w:adjustRightInd w:val="0"/>
        <w:spacing w:after="0" w:line="48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This study had limitations while providing data regarding the knowledge, attitude, and practices of nurses working in the surgical ward at Mengo Hospital. The study cannot be applied to other nurse sample populations, primarily because it was restricted to nurses who worked in the surgical wards at Mengo Hospital. It's possible that nurses with little expertise or interest in pain management chose not to participate in this study. This may suggest that non-respondents may have had knowledge and attitudes that were less favorable than those of the nurses who took part in the current study (Rieman &amp; Gordon, 2007). </w:t>
      </w:r>
    </w:p>
    <w:p>
      <w:pPr>
        <w:autoSpaceDE w:val="0"/>
        <w:autoSpaceDN w:val="0"/>
        <w:adjustRightInd w:val="0"/>
        <w:spacing w:after="0" w:line="480" w:lineRule="auto"/>
        <w:ind w:firstLine="720"/>
        <w:contextualSpacing/>
        <w:jc w:val="both"/>
        <w:rPr>
          <w:rFonts w:ascii="Times New Roman" w:hAnsi="Times New Roman" w:cs="Times New Roman"/>
          <w:b/>
          <w:sz w:val="24"/>
          <w:szCs w:val="24"/>
        </w:rPr>
      </w:pPr>
      <w:r>
        <w:rPr>
          <w:rFonts w:ascii="Times New Roman" w:hAnsi="Times New Roman" w:cs="Times New Roman"/>
          <w:sz w:val="24"/>
          <w:szCs w:val="24"/>
        </w:rPr>
        <w:t>As a result, this restricts the generalizability of the study's findings because they might not be representative of the greater population of nurses employed in Mengo Hospital's surgical ward.</w:t>
      </w:r>
    </w:p>
    <w:p>
      <w:pPr>
        <w:pStyle w:val="3"/>
        <w:spacing w:line="480" w:lineRule="auto"/>
        <w:rPr>
          <w:rFonts w:ascii="Times New Roman" w:hAnsi="Times New Roman" w:cs="Times New Roman" w:eastAsiaTheme="minorHAnsi"/>
          <w:b w:val="0"/>
          <w:sz w:val="24"/>
          <w:szCs w:val="24"/>
        </w:rPr>
      </w:pPr>
      <w:r>
        <w:rPr>
          <w:rFonts w:ascii="Times New Roman" w:hAnsi="Times New Roman" w:cs="Times New Roman" w:eastAsiaTheme="minorHAnsi"/>
          <w:b w:val="0"/>
          <w:sz w:val="24"/>
          <w:szCs w:val="24"/>
        </w:rPr>
        <w:t xml:space="preserve">The fact that the researcher only included nurses on day shift, may have excluded interested workers who would have benefited more from the intervention, given that night nurses also care for patients who have just had surgery. This suggests that the additional researcher do yet another study concentrating on both day and night nurses who care for the same patients. </w:t>
      </w:r>
    </w:p>
    <w:p>
      <w:pPr>
        <w:pStyle w:val="3"/>
        <w:spacing w:line="480" w:lineRule="auto"/>
        <w:rPr>
          <w:rFonts w:ascii="Times New Roman" w:hAnsi="Times New Roman" w:cs="Times New Roman"/>
          <w:bCs/>
          <w:sz w:val="24"/>
          <w:szCs w:val="24"/>
        </w:rPr>
      </w:pPr>
      <w:r>
        <w:rPr>
          <w:rFonts w:ascii="Times New Roman" w:hAnsi="Times New Roman" w:cs="Times New Roman"/>
          <w:bCs/>
          <w:sz w:val="24"/>
          <w:szCs w:val="24"/>
        </w:rPr>
        <w:t>Conclusion</w:t>
      </w:r>
      <w:bookmarkEnd w:id="250"/>
      <w:bookmarkEnd w:id="251"/>
    </w:p>
    <w:p>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results revealed a great improvement which was satistically significant in the nurses knowledge,attitude and practice towards post operative pain management(p= 0.01 ). Regarding the survey,  the knowledge, practice improved more. However, in the context of pain management, some fundamental areas showed a lack of knowledge and attitudes regarding pain. The main areas that revealed the greatest knowledge gaps and shortcomings were the selection of opioids, the evaluation of pain, and the incorrect assessment of pain in the absence of behavioral expressions. This is concerning since effective pain management depends on the knowledge, attitude, and abilities of healthcare professionals. The knowledge, attitude, and practice of nurses in pain management should therefore be improved, as well as their role in pain assessment, through nursing education and ongoing professional advancement/development.</w:t>
      </w:r>
    </w:p>
    <w:p>
      <w:pPr>
        <w:pStyle w:val="3"/>
        <w:spacing w:line="480" w:lineRule="auto"/>
        <w:rPr>
          <w:rFonts w:ascii="Times New Roman" w:hAnsi="Times New Roman" w:cs="Times New Roman"/>
          <w:bCs/>
          <w:sz w:val="24"/>
          <w:szCs w:val="24"/>
        </w:rPr>
      </w:pPr>
      <w:bookmarkStart w:id="252" w:name="_Toc142753436"/>
      <w:bookmarkStart w:id="253" w:name="_Toc134604196"/>
      <w:r>
        <w:rPr>
          <w:rFonts w:ascii="Times New Roman" w:hAnsi="Times New Roman" w:cs="Times New Roman"/>
          <w:bCs/>
          <w:sz w:val="24"/>
          <w:szCs w:val="24"/>
        </w:rPr>
        <w:t>Recommendations</w:t>
      </w:r>
      <w:bookmarkEnd w:id="252"/>
      <w:bookmarkEnd w:id="253"/>
    </w:p>
    <w:p>
      <w:pPr>
        <w:spacing w:line="480" w:lineRule="auto"/>
        <w:ind w:firstLine="720"/>
        <w:jc w:val="both"/>
        <w:rPr>
          <w:rFonts w:ascii="Times New Roman" w:hAnsi="Times New Roman" w:cs="Times New Roman"/>
          <w:color w:val="0D0D0D" w:themeColor="text1" w:themeTint="F2"/>
          <w:sz w:val="24"/>
          <w:szCs w:val="24"/>
          <w14:textFill>
            <w14:solidFill>
              <w14:schemeClr w14:val="tx1">
                <w14:lumMod w14:val="95000"/>
                <w14:lumOff w14:val="5000"/>
              </w14:schemeClr>
            </w14:solidFill>
          </w14:textFill>
        </w:rPr>
      </w:pPr>
      <w:r>
        <w:rPr>
          <w:rFonts w:ascii="Times New Roman" w:hAnsi="Times New Roman" w:cs="Times New Roman"/>
          <w:sz w:val="24"/>
          <w:szCs w:val="24"/>
        </w:rPr>
        <w:t xml:space="preserve">Regarding the survey, it was accepted that there was a substantial knowledge gap, unfavorable attitude, and poor practice, all of which were evident in the pretest but significantly improved in the post intervention evaluation. There was no significance for the demographic variables. </w:t>
      </w:r>
      <w:r>
        <w:rPr>
          <w:rFonts w:ascii="Times New Roman" w:hAnsi="Times New Roman" w:cs="Times New Roman"/>
          <w:color w:val="0D0D0D" w:themeColor="text1" w:themeTint="F2"/>
          <w:sz w:val="24"/>
          <w:szCs w:val="24"/>
          <w14:textFill>
            <w14:solidFill>
              <w14:schemeClr w14:val="tx1">
                <w14:lumMod w14:val="95000"/>
                <w14:lumOff w14:val="5000"/>
              </w14:schemeClr>
            </w14:solidFill>
          </w14:textFill>
        </w:rPr>
        <w:t xml:space="preserve">In light of the fact that the education intervention of incorporating a pain assessment scale to the nurse's knowledge had a significant impact on the nurses' knowledge, attitude, and practice regarding postoperative pain management, nursing schools should give nurses adequate, accurate knowledge about the assessment and management of pain. </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results clarified the arguments in favor of the necessity for suitable educational interventions to improve nurses' knowledge, attitudes, and practices regarding post-operative pain management and expanded the suggestions of other experts. The institutions are advised to provide all nurses with continued nursing education in post-operative pain management at least once a month. Additionally, the institution's human resource department should prioritize annual sponsorship of at least one to three nurses from each surgical unit for refresher training. </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audit meeting should be promoted in the surgical, obstetric, and gynecological departments to improve the nurses' knowledge and outlook on quarterly basis towards post-operative pain management. Since effective postoperative pain management requires multidisciplinary (teamwork) care, this necessitates ongoing training and mentoring of senior staff, including doctors and nurses.</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More specifically, surgical nurses must be competent to identify and manage pain in order to provide high-quality nursing care. To achieve this, more work needs to be done in health organizations, such as a quality enhancement program like the quality improvement teams (QITs), which may adopt a variety of tactics targeted at enhancing knowledge and pain management procedures. Continuous training and programs in pain management can help with this.</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researcher also suggests that rigorous and comprehensive educational programs be modified to consider the demands of nurses at both the undergraduate and graduate levels. Nursing curriculum at the undergraduate and master's level needs to be extensively examined to make sure that the knowledge presented in these modules prepares nurses to treat pain in an appropriate manner.</w:t>
      </w:r>
    </w:p>
    <w:p>
      <w:pPr>
        <w:spacing w:line="480" w:lineRule="auto"/>
        <w:ind w:firstLine="720"/>
        <w:jc w:val="both"/>
        <w:rPr>
          <w:rFonts w:ascii="Times New Roman" w:hAnsi="Times New Roman" w:cs="Times New Roman"/>
          <w:color w:val="000000" w:themeColor="text1"/>
          <w:sz w:val="24"/>
          <w:szCs w:val="24"/>
          <w14:textFill>
            <w14:solidFill>
              <w14:schemeClr w14:val="tx1"/>
            </w14:solidFill>
          </w14:textFill>
        </w:rPr>
      </w:pPr>
    </w:p>
    <w:p>
      <w:pPr>
        <w:spacing w:line="480" w:lineRule="auto"/>
        <w:ind w:firstLine="720"/>
        <w:jc w:val="both"/>
        <w:rPr>
          <w:rFonts w:ascii="Times New Roman" w:hAnsi="Times New Roman" w:cs="Times New Roman"/>
          <w:color w:val="C00000"/>
          <w:sz w:val="24"/>
          <w:szCs w:val="24"/>
        </w:rPr>
      </w:pPr>
    </w:p>
    <w:p>
      <w:pPr>
        <w:spacing w:before="100" w:beforeAutospacing="1" w:after="100" w:afterAutospacing="1" w:line="480" w:lineRule="auto"/>
        <w:ind w:right="720"/>
        <w:rPr>
          <w:rFonts w:ascii="Times New Roman" w:hAnsi="Times New Roman" w:cs="Times New Roman"/>
          <w:sz w:val="24"/>
          <w:szCs w:val="24"/>
        </w:rPr>
      </w:pPr>
    </w:p>
    <w:p>
      <w:pPr>
        <w:pStyle w:val="3"/>
        <w:jc w:val="center"/>
        <w:rPr>
          <w:rFonts w:ascii="Times New Roman" w:hAnsi="Times New Roman" w:cs="Times New Roman"/>
          <w:sz w:val="24"/>
          <w:szCs w:val="24"/>
        </w:rPr>
      </w:pPr>
      <w:bookmarkStart w:id="254" w:name="_Toc142753437"/>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r>
        <w:rPr>
          <w:rFonts w:ascii="Times New Roman" w:hAnsi="Times New Roman" w:cs="Times New Roman"/>
          <w:sz w:val="24"/>
          <w:szCs w:val="24"/>
        </w:rPr>
        <w:t xml:space="preserve">                                                                                                                              </w:t>
      </w:r>
    </w:p>
    <w:p>
      <w:pPr>
        <w:pStyle w:val="3"/>
        <w:jc w:val="center"/>
        <w:rPr>
          <w:rFonts w:ascii="Times New Roman" w:hAnsi="Times New Roman" w:cs="Times New Roman"/>
          <w:sz w:val="24"/>
          <w:szCs w:val="24"/>
        </w:rPr>
      </w:pPr>
    </w:p>
    <w:p>
      <w:pPr>
        <w:pStyle w:val="3"/>
        <w:jc w:val="center"/>
        <w:rPr>
          <w:rFonts w:ascii="Times New Roman" w:hAnsi="Times New Roman" w:cs="Times New Roman"/>
          <w:sz w:val="24"/>
          <w:szCs w:val="24"/>
        </w:rPr>
      </w:pPr>
      <w:r>
        <w:rPr>
          <w:rFonts w:ascii="Times New Roman" w:hAnsi="Times New Roman" w:cs="Times New Roman"/>
          <w:sz w:val="24"/>
          <w:szCs w:val="24"/>
        </w:rPr>
        <w:t xml:space="preserve">                                                                                                        </w:t>
      </w:r>
    </w:p>
    <w:p>
      <w:pPr>
        <w:pStyle w:val="3"/>
        <w:jc w:val="center"/>
        <w:rPr>
          <w:rFonts w:ascii="Times New Roman" w:hAnsi="Times New Roman" w:cs="Times New Roman"/>
          <w:sz w:val="24"/>
          <w:szCs w:val="24"/>
        </w:rPr>
      </w:pPr>
    </w:p>
    <w:p>
      <w:pPr>
        <w:rPr>
          <w:b/>
          <w:bCs/>
        </w:rPr>
      </w:pPr>
    </w:p>
    <w:p>
      <w:pPr>
        <w:jc w:val="center"/>
        <w:rPr>
          <w:b/>
          <w:bCs/>
        </w:rPr>
      </w:pPr>
      <w:r>
        <w:rPr>
          <w:b/>
          <w:bCs/>
        </w:rPr>
        <w:t>REFERENCES</w:t>
      </w:r>
      <w:bookmarkEnd w:id="254"/>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A. Walker-Reed, C. (2016). Clinical coaching: The means to achieving a legacy of leadership and professional development in nursing practice. </w:t>
      </w:r>
      <w:r>
        <w:rPr>
          <w:rFonts w:ascii="Times New Roman" w:hAnsi="Times New Roman" w:cs="Times New Roman"/>
          <w:i/>
          <w:iCs/>
          <w:sz w:val="24"/>
          <w:szCs w:val="24"/>
        </w:rPr>
        <w:t>Journal of Nursing Education and Practice</w:t>
      </w:r>
      <w:r>
        <w:rPr>
          <w:rFonts w:ascii="Times New Roman" w:hAnsi="Times New Roman" w:cs="Times New Roman"/>
          <w:sz w:val="24"/>
          <w:szCs w:val="24"/>
        </w:rPr>
        <w:t xml:space="preserve">, </w:t>
      </w:r>
      <w:r>
        <w:rPr>
          <w:rFonts w:ascii="Times New Roman" w:hAnsi="Times New Roman" w:cs="Times New Roman"/>
          <w:i/>
          <w:iCs/>
          <w:sz w:val="24"/>
          <w:szCs w:val="24"/>
        </w:rPr>
        <w:t>6</w:t>
      </w:r>
      <w:r>
        <w:rPr>
          <w:rFonts w:ascii="Times New Roman" w:hAnsi="Times New Roman" w:cs="Times New Roman"/>
          <w:sz w:val="24"/>
          <w:szCs w:val="24"/>
        </w:rPr>
        <w:t>(6), 41–47. https://doi.org/10.5430/jnep.v6n6p41</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A.Faithfull-Byrne, L. Thompson, K., w. Scafer, M. Williamson, W. Cross, C. M. (2017). Clinical coaches in nursing and midwifery practice: Facilitating point of care workplace learning and development. </w:t>
      </w:r>
      <w:r>
        <w:rPr>
          <w:rFonts w:ascii="Times New Roman" w:hAnsi="Times New Roman" w:cs="Times New Roman"/>
          <w:i/>
          <w:iCs/>
          <w:sz w:val="24"/>
          <w:szCs w:val="24"/>
        </w:rPr>
        <w:t>Australian College of Nursing</w:t>
      </w:r>
      <w:r>
        <w:rPr>
          <w:rFonts w:ascii="Times New Roman" w:hAnsi="Times New Roman" w:cs="Times New Roman"/>
          <w:sz w:val="24"/>
          <w:szCs w:val="24"/>
        </w:rPr>
        <w:t>.</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Adams, S. D. M., Varaei, S., &amp; Jalalinia, F. (2020). Nurses’ Knowledge and Attitude towards Postoperative Pain Management in Ghana. </w:t>
      </w:r>
      <w:r>
        <w:rPr>
          <w:rFonts w:ascii="Times New Roman" w:hAnsi="Times New Roman" w:cs="Times New Roman"/>
          <w:i/>
          <w:iCs/>
          <w:sz w:val="24"/>
          <w:szCs w:val="24"/>
        </w:rPr>
        <w:t>Pain Research and Management</w:t>
      </w:r>
      <w:r>
        <w:rPr>
          <w:rFonts w:ascii="Times New Roman" w:hAnsi="Times New Roman" w:cs="Times New Roman"/>
          <w:sz w:val="24"/>
          <w:szCs w:val="24"/>
        </w:rPr>
        <w:t xml:space="preserve">, </w:t>
      </w:r>
      <w:r>
        <w:rPr>
          <w:rFonts w:ascii="Times New Roman" w:hAnsi="Times New Roman" w:cs="Times New Roman"/>
          <w:i/>
          <w:iCs/>
          <w:sz w:val="24"/>
          <w:szCs w:val="24"/>
        </w:rPr>
        <w:t>2020</w:t>
      </w:r>
      <w:r>
        <w:rPr>
          <w:rFonts w:ascii="Times New Roman" w:hAnsi="Times New Roman" w:cs="Times New Roman"/>
          <w:sz w:val="24"/>
          <w:szCs w:val="24"/>
        </w:rPr>
        <w:t>. https://doi.org/10.1155/2020/4893707</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Al-Quliti, K. W., &amp; Alamri, M. S. (2015). Knowledge, attitudes, and practices of health care providers in Almadinah Almunawwarah, Saudi Arabia. </w:t>
      </w:r>
      <w:r>
        <w:rPr>
          <w:rFonts w:ascii="Times New Roman" w:hAnsi="Times New Roman" w:cs="Times New Roman"/>
          <w:i/>
          <w:iCs/>
          <w:sz w:val="24"/>
          <w:szCs w:val="24"/>
        </w:rPr>
        <w:t>Neurosciences</w:t>
      </w:r>
      <w:r>
        <w:rPr>
          <w:rFonts w:ascii="Times New Roman" w:hAnsi="Times New Roman" w:cs="Times New Roman"/>
          <w:sz w:val="24"/>
          <w:szCs w:val="24"/>
        </w:rPr>
        <w:t xml:space="preserve">, </w:t>
      </w:r>
      <w:r>
        <w:rPr>
          <w:rFonts w:ascii="Times New Roman" w:hAnsi="Times New Roman" w:cs="Times New Roman"/>
          <w:i/>
          <w:iCs/>
          <w:sz w:val="24"/>
          <w:szCs w:val="24"/>
        </w:rPr>
        <w:t>20</w:t>
      </w:r>
      <w:r>
        <w:rPr>
          <w:rFonts w:ascii="Times New Roman" w:hAnsi="Times New Roman" w:cs="Times New Roman"/>
          <w:sz w:val="24"/>
          <w:szCs w:val="24"/>
        </w:rPr>
        <w:t>(2), 131–136. https://doi.org/10.17712/nsj.2015.2.20140546</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Al‐sayaghi, K. M., Fadlalmola, H. A., Aljohani, W. A., Alenezi, A. M., Aljohani, D. T., Aljohani, T. A., Alsaleh, S. A., Aljohani, K. A., Aljohani, M. S., Alzahrani, N. S., Alamri, A. A., Alhousah, A. H., &amp; Khan, M. F. (2022). Nurses’ Knowledge and Attitudes Regarding Pain Assessment and Management in Saudi Arabia. </w:t>
      </w:r>
      <w:r>
        <w:rPr>
          <w:rFonts w:ascii="Times New Roman" w:hAnsi="Times New Roman" w:cs="Times New Roman"/>
          <w:i/>
          <w:iCs/>
          <w:sz w:val="24"/>
          <w:szCs w:val="24"/>
        </w:rPr>
        <w:t>Healthcare (Switzerland)</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(3). https://doi.org/10.3390/healthcare10030528</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Albaqawi, H., Maude, P., &amp; Shawhan-akl, L. (2016). </w:t>
      </w:r>
      <w:r>
        <w:rPr>
          <w:rFonts w:ascii="Times New Roman" w:hAnsi="Times New Roman" w:cs="Times New Roman"/>
          <w:i/>
          <w:iCs/>
          <w:sz w:val="24"/>
          <w:szCs w:val="24"/>
        </w:rPr>
        <w:t>Saudi Arabian Nurses ’ Knowledge and Attitudes Regarding Pain Management : Survey Results Using the KASRP</w:t>
      </w:r>
      <w:r>
        <w:rPr>
          <w:rFonts w:ascii="Times New Roman" w:hAnsi="Times New Roman" w:cs="Times New Roman"/>
          <w:sz w:val="24"/>
          <w:szCs w:val="24"/>
        </w:rPr>
        <w:t xml:space="preserve">. </w:t>
      </w:r>
      <w:r>
        <w:rPr>
          <w:rFonts w:ascii="Times New Roman" w:hAnsi="Times New Roman" w:cs="Times New Roman"/>
          <w:i/>
          <w:iCs/>
          <w:sz w:val="24"/>
          <w:szCs w:val="24"/>
        </w:rPr>
        <w:t>6</w:t>
      </w:r>
      <w:r>
        <w:rPr>
          <w:rFonts w:ascii="Times New Roman" w:hAnsi="Times New Roman" w:cs="Times New Roman"/>
          <w:sz w:val="24"/>
          <w:szCs w:val="24"/>
        </w:rPr>
        <w:t>(December), 150–164.</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Atisook, R. (2021). </w:t>
      </w:r>
      <w:r>
        <w:rPr>
          <w:rFonts w:ascii="Times New Roman" w:hAnsi="Times New Roman" w:cs="Times New Roman"/>
          <w:i/>
          <w:iCs/>
          <w:sz w:val="24"/>
          <w:szCs w:val="24"/>
        </w:rPr>
        <w:t>Validity and Utility of Four Pain Intensity Measures for Use in International Research</w:t>
      </w:r>
      <w:r>
        <w:rPr>
          <w:rFonts w:ascii="Times New Roman" w:hAnsi="Times New Roman" w:cs="Times New Roman"/>
          <w:sz w:val="24"/>
          <w:szCs w:val="24"/>
        </w:rPr>
        <w:t>. 1129–1139.</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Ayhan, F., &amp; Şerife, K. (2017). Experience of pain in patients undergoing abdominal surgery and nursing approaches to pain control. </w:t>
      </w:r>
      <w:r>
        <w:rPr>
          <w:rFonts w:ascii="Times New Roman" w:hAnsi="Times New Roman" w:cs="Times New Roman"/>
          <w:i/>
          <w:iCs/>
          <w:sz w:val="24"/>
          <w:szCs w:val="24"/>
        </w:rPr>
        <w:t>International Journal of Caring</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(3), 1456–1464. www.internationaljournalofcaringsciences.org</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Barbara, Kuhn, Timby and Smith, E. N. (2018). </w:t>
      </w:r>
      <w:r>
        <w:rPr>
          <w:rFonts w:ascii="Times New Roman" w:hAnsi="Times New Roman" w:cs="Times New Roman"/>
          <w:i/>
          <w:iCs/>
          <w:sz w:val="24"/>
          <w:szCs w:val="24"/>
        </w:rPr>
        <w:t>Introductory Medical-Surgical Nursing</w:t>
      </w:r>
      <w:r>
        <w:rPr>
          <w:rFonts w:ascii="Times New Roman" w:hAnsi="Times New Roman" w:cs="Times New Roman"/>
          <w:sz w:val="24"/>
          <w:szCs w:val="24"/>
        </w:rPr>
        <w:t>. Wolters Kluwer.</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Buvanendran, A., Fiala, J., Patel, K. A., Golden, A. D., Moric, M., &amp; Kroin, J. S. (2015). The Incidence and Severity of Postoperative Pain following Inpatient Surgery. </w:t>
      </w:r>
      <w:r>
        <w:rPr>
          <w:rFonts w:ascii="Times New Roman" w:hAnsi="Times New Roman" w:cs="Times New Roman"/>
          <w:i/>
          <w:iCs/>
          <w:sz w:val="24"/>
          <w:szCs w:val="24"/>
        </w:rPr>
        <w:t>Pain Medicine (United States)</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(12), 2277–2283. https://doi.org/10.1111/pme.12751</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Carolyn, M.-F. (2017). </w:t>
      </w:r>
      <w:r>
        <w:rPr>
          <w:rFonts w:ascii="Times New Roman" w:hAnsi="Times New Roman" w:cs="Times New Roman"/>
          <w:i/>
          <w:iCs/>
          <w:sz w:val="24"/>
          <w:szCs w:val="24"/>
        </w:rPr>
        <w:t>Pain: A content review of undergraduate pre-registration nurse education in the United Kingdom</w:t>
      </w:r>
      <w:r>
        <w:rPr>
          <w:rFonts w:ascii="Times New Roman" w:hAnsi="Times New Roman" w:cs="Times New Roman"/>
          <w:sz w:val="24"/>
          <w:szCs w:val="24"/>
        </w:rPr>
        <w:t>. https://doi.org/10.1016/j.nedt.2016.08.035.</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Chatchumni, M. (2016). Post-Operative Pain Management Practice. In </w:t>
      </w:r>
      <w:r>
        <w:rPr>
          <w:rFonts w:ascii="Times New Roman" w:hAnsi="Times New Roman" w:cs="Times New Roman"/>
          <w:i/>
          <w:iCs/>
          <w:sz w:val="24"/>
          <w:szCs w:val="24"/>
        </w:rPr>
        <w:t>current situation and challenges within nursing practice in the Thai context(Doctoral dissertition malardalen University</w:t>
      </w:r>
      <w:r>
        <w:rPr>
          <w:rFonts w:ascii="Times New Roman" w:hAnsi="Times New Roman" w:cs="Times New Roman"/>
          <w:sz w:val="24"/>
          <w:szCs w:val="24"/>
        </w:rPr>
        <w:t xml:space="preserve"> (Issue 204).</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Chatchumni, M., Namvongprom, A., Eriksson, H., &amp; Mazaheri, M. (2016). Thai Nurses’ experiences of post-operative pain assessment and its’ influence on pain management decisions. </w:t>
      </w:r>
      <w:r>
        <w:rPr>
          <w:rFonts w:ascii="Times New Roman" w:hAnsi="Times New Roman" w:cs="Times New Roman"/>
          <w:i/>
          <w:iCs/>
          <w:sz w:val="24"/>
          <w:szCs w:val="24"/>
        </w:rPr>
        <w:t>BMC Nursing</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(1), 1–9. https://doi.org/10.1186/s12912-016-0136-8</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Deldar, K., Froutan, R., &amp; Ebadi, A. (2018). Challenges faced by nurses in using pain assessment scale in patients unable to communicate: A qualitative study. </w:t>
      </w:r>
      <w:r>
        <w:rPr>
          <w:rFonts w:ascii="Times New Roman" w:hAnsi="Times New Roman" w:cs="Times New Roman"/>
          <w:i/>
          <w:iCs/>
          <w:sz w:val="24"/>
          <w:szCs w:val="24"/>
        </w:rPr>
        <w:t>BMC Nursing</w:t>
      </w:r>
      <w:r>
        <w:rPr>
          <w:rFonts w:ascii="Times New Roman" w:hAnsi="Times New Roman" w:cs="Times New Roman"/>
          <w:sz w:val="24"/>
          <w:szCs w:val="24"/>
        </w:rPr>
        <w:t xml:space="preserve">, </w:t>
      </w:r>
      <w:r>
        <w:rPr>
          <w:rFonts w:ascii="Times New Roman" w:hAnsi="Times New Roman" w:cs="Times New Roman"/>
          <w:i/>
          <w:iCs/>
          <w:sz w:val="24"/>
          <w:szCs w:val="24"/>
        </w:rPr>
        <w:t>17</w:t>
      </w:r>
      <w:r>
        <w:rPr>
          <w:rFonts w:ascii="Times New Roman" w:hAnsi="Times New Roman" w:cs="Times New Roman"/>
          <w:sz w:val="24"/>
          <w:szCs w:val="24"/>
        </w:rPr>
        <w:t>(1), 1–8. https://doi.org/10.1186/s12912-018-0281-3</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Dendir, G., Sintayehu, A., &amp; Anmut, W. (2020). Knowledge , Attitude and Practice of Nurses towards Post-operative Pain Management in Wolaita Sodo University Teaching Referral Hospital , Ethiopia , Institutional Based Cross-sectional Study Journal of Anesthesia &amp; Clinical Research. </w:t>
      </w:r>
      <w:r>
        <w:rPr>
          <w:rFonts w:ascii="Times New Roman" w:hAnsi="Times New Roman" w:cs="Times New Roman"/>
          <w:i/>
          <w:iCs/>
          <w:sz w:val="24"/>
          <w:szCs w:val="24"/>
        </w:rPr>
        <w:t>Anesthesia &amp; Clinical Research</w:t>
      </w:r>
      <w:r>
        <w:rPr>
          <w:rFonts w:ascii="Times New Roman" w:hAnsi="Times New Roman" w:cs="Times New Roman"/>
          <w:sz w:val="24"/>
          <w:szCs w:val="24"/>
        </w:rPr>
        <w:t xml:space="preserve">, </w:t>
      </w:r>
      <w:r>
        <w:rPr>
          <w:rFonts w:ascii="Times New Roman" w:hAnsi="Times New Roman" w:cs="Times New Roman"/>
          <w:i/>
          <w:iCs/>
          <w:sz w:val="24"/>
          <w:szCs w:val="24"/>
        </w:rPr>
        <w:t>January</w:t>
      </w:r>
      <w:r>
        <w:rPr>
          <w:rFonts w:ascii="Times New Roman" w:hAnsi="Times New Roman" w:cs="Times New Roman"/>
          <w:sz w:val="24"/>
          <w:szCs w:val="24"/>
        </w:rPr>
        <w:t>, 1–9. https://doi.org/10.35248/2155-6148.20.11.958</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Dessie, M., Asichale, A., Belayneh, T., Enyew, H., &amp; Hailekiros, A. (2019). &lt;p&gt;Knowledge and Attitudes of Ethiopian Nursing Staff Regarding Post-Operative Pain Management: A Cross-Sectional Multicenter Study&lt;/p&gt;. </w:t>
      </w:r>
      <w:r>
        <w:rPr>
          <w:rFonts w:ascii="Times New Roman" w:hAnsi="Times New Roman" w:cs="Times New Roman"/>
          <w:i/>
          <w:iCs/>
          <w:sz w:val="24"/>
          <w:szCs w:val="24"/>
        </w:rPr>
        <w:t>Patient Related Outcome Measures</w:t>
      </w:r>
      <w:r>
        <w:rPr>
          <w:rFonts w:ascii="Times New Roman" w:hAnsi="Times New Roman" w:cs="Times New Roman"/>
          <w:sz w:val="24"/>
          <w:szCs w:val="24"/>
        </w:rPr>
        <w:t xml:space="preserve">, </w:t>
      </w:r>
      <w:r>
        <w:rPr>
          <w:rFonts w:ascii="Times New Roman" w:hAnsi="Times New Roman" w:cs="Times New Roman"/>
          <w:i/>
          <w:iCs/>
          <w:sz w:val="24"/>
          <w:szCs w:val="24"/>
        </w:rPr>
        <w:t>Volume 10</w:t>
      </w:r>
      <w:r>
        <w:rPr>
          <w:rFonts w:ascii="Times New Roman" w:hAnsi="Times New Roman" w:cs="Times New Roman"/>
          <w:sz w:val="24"/>
          <w:szCs w:val="24"/>
        </w:rPr>
        <w:t>, 395–403. https://doi.org/10.2147/prom.s234521</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Diane Glowacki, R. (2013). Effective Pain Management and Improvements in Patients’ Outcomes and Satisfaction. </w:t>
      </w:r>
      <w:r>
        <w:rPr>
          <w:rFonts w:ascii="Times New Roman" w:hAnsi="Times New Roman" w:cs="Times New Roman"/>
          <w:i/>
          <w:iCs/>
          <w:sz w:val="24"/>
          <w:szCs w:val="24"/>
        </w:rPr>
        <w:t>CriticalCareNurse Vol</w:t>
      </w:r>
      <w:r>
        <w:rPr>
          <w:rFonts w:ascii="Times New Roman" w:hAnsi="Times New Roman" w:cs="Times New Roman"/>
          <w:sz w:val="24"/>
          <w:szCs w:val="24"/>
        </w:rPr>
        <w:t xml:space="preserve">, </w:t>
      </w:r>
      <w:r>
        <w:rPr>
          <w:rFonts w:ascii="Times New Roman" w:hAnsi="Times New Roman" w:cs="Times New Roman"/>
          <w:i/>
          <w:iCs/>
          <w:sz w:val="24"/>
          <w:szCs w:val="24"/>
        </w:rPr>
        <w:t>35</w:t>
      </w:r>
      <w:r>
        <w:rPr>
          <w:rFonts w:ascii="Times New Roman" w:hAnsi="Times New Roman" w:cs="Times New Roman"/>
          <w:sz w:val="24"/>
          <w:szCs w:val="24"/>
        </w:rPr>
        <w:t>(November), 33–43.</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Eriksson, K. (2017). </w:t>
      </w:r>
      <w:r>
        <w:rPr>
          <w:rFonts w:ascii="Times New Roman" w:hAnsi="Times New Roman" w:cs="Times New Roman"/>
          <w:i/>
          <w:iCs/>
          <w:sz w:val="24"/>
          <w:szCs w:val="24"/>
        </w:rPr>
        <w:t>Postoperative pain assessment and impact of pain on early physical recovery, from the patients’ perspective</w:t>
      </w:r>
      <w:r>
        <w:rPr>
          <w:rFonts w:ascii="Times New Roman" w:hAnsi="Times New Roman" w:cs="Times New Roman"/>
          <w:sz w:val="24"/>
          <w:szCs w:val="24"/>
        </w:rPr>
        <w:t xml:space="preserve"> (Issue 080). https://www.diva-portal.org/smash/get/diva2:1087979/FULLTEXT01.pdf</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Eti Aslan, F., Kula Şahin, S., Secginli, S., &amp; Bülbüloğlu, S. (2018). Patient satisfaction with nursing practices about postoperative pain management: A systematic review. </w:t>
      </w:r>
      <w:r>
        <w:rPr>
          <w:rFonts w:ascii="Times New Roman" w:hAnsi="Times New Roman" w:cs="Times New Roman"/>
          <w:i/>
          <w:iCs/>
          <w:sz w:val="24"/>
          <w:szCs w:val="24"/>
        </w:rPr>
        <w:t>Agri</w:t>
      </w:r>
      <w:r>
        <w:rPr>
          <w:rFonts w:ascii="Times New Roman" w:hAnsi="Times New Roman" w:cs="Times New Roman"/>
          <w:sz w:val="24"/>
          <w:szCs w:val="24"/>
        </w:rPr>
        <w:t xml:space="preserve">, </w:t>
      </w:r>
      <w:r>
        <w:rPr>
          <w:rFonts w:ascii="Times New Roman" w:hAnsi="Times New Roman" w:cs="Times New Roman"/>
          <w:i/>
          <w:iCs/>
          <w:sz w:val="24"/>
          <w:szCs w:val="24"/>
        </w:rPr>
        <w:t>30</w:t>
      </w:r>
      <w:r>
        <w:rPr>
          <w:rFonts w:ascii="Times New Roman" w:hAnsi="Times New Roman" w:cs="Times New Roman"/>
          <w:sz w:val="24"/>
          <w:szCs w:val="24"/>
        </w:rPr>
        <w:t>(3), 105–115. https://doi.org/10.5505/agri.2018.96720</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F., Denise, Polit and T. Cherry, B. (2008). </w:t>
      </w:r>
      <w:r>
        <w:rPr>
          <w:rFonts w:ascii="Times New Roman" w:hAnsi="Times New Roman" w:cs="Times New Roman"/>
          <w:i/>
          <w:iCs/>
          <w:sz w:val="24"/>
          <w:szCs w:val="24"/>
        </w:rPr>
        <w:t>Nursing Research: Generating and Assessing Evidence for Nursing Practice</w:t>
      </w:r>
      <w:r>
        <w:rPr>
          <w:rFonts w:ascii="Times New Roman" w:hAnsi="Times New Roman" w:cs="Times New Roman"/>
          <w:sz w:val="24"/>
          <w:szCs w:val="24"/>
        </w:rPr>
        <w:t xml:space="preserve"> (8th Editio). Philadelphia : Wolters Kluwer Health /Lippincott Williams &amp; Wilkins.</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Fan, M., &amp; Chen, Z. (2020). A systematic review of non‑pharmacological interventions used for pain relief after orthopedic surgical procedures. </w:t>
      </w:r>
      <w:r>
        <w:rPr>
          <w:rFonts w:ascii="Times New Roman" w:hAnsi="Times New Roman" w:cs="Times New Roman"/>
          <w:i/>
          <w:iCs/>
          <w:sz w:val="24"/>
          <w:szCs w:val="24"/>
        </w:rPr>
        <w:t>Experimental and Therapeutic Medicine</w:t>
      </w:r>
      <w:r>
        <w:rPr>
          <w:rFonts w:ascii="Times New Roman" w:hAnsi="Times New Roman" w:cs="Times New Roman"/>
          <w:sz w:val="24"/>
          <w:szCs w:val="24"/>
        </w:rPr>
        <w:t xml:space="preserve">, </w:t>
      </w:r>
      <w:r>
        <w:rPr>
          <w:rFonts w:ascii="Times New Roman" w:hAnsi="Times New Roman" w:cs="Times New Roman"/>
          <w:i/>
          <w:iCs/>
          <w:sz w:val="24"/>
          <w:szCs w:val="24"/>
        </w:rPr>
        <w:t>20</w:t>
      </w:r>
      <w:r>
        <w:rPr>
          <w:rFonts w:ascii="Times New Roman" w:hAnsi="Times New Roman" w:cs="Times New Roman"/>
          <w:sz w:val="24"/>
          <w:szCs w:val="24"/>
        </w:rPr>
        <w:t>(5), 1–1. https://doi.org/10.3892/etm.2020.9163</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Gaskell, L., &amp; Beaton, S. (2015). Developing clinical competency: Experiences and perceptions of Advanced Midwifery Practitioners in training. </w:t>
      </w:r>
      <w:r>
        <w:rPr>
          <w:rFonts w:ascii="Times New Roman" w:hAnsi="Times New Roman" w:cs="Times New Roman"/>
          <w:i/>
          <w:iCs/>
          <w:sz w:val="24"/>
          <w:szCs w:val="24"/>
        </w:rPr>
        <w:t>Nurse Education in Practice</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(4), 265–270. https://doi.org/10.1016/j.nepr.2015.03.001</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Jemebere, W. (2020). Knowledge and Attitudes of Nurses towards Postoperative Pain Management in Southern Ethiopia. </w:t>
      </w:r>
      <w:r>
        <w:rPr>
          <w:rFonts w:ascii="Times New Roman" w:hAnsi="Times New Roman" w:cs="Times New Roman"/>
          <w:i/>
          <w:iCs/>
          <w:sz w:val="24"/>
          <w:szCs w:val="24"/>
        </w:rPr>
        <w:t>SSRN Electronic Journal</w:t>
      </w:r>
      <w:r>
        <w:rPr>
          <w:rFonts w:ascii="Times New Roman" w:hAnsi="Times New Roman" w:cs="Times New Roman"/>
          <w:sz w:val="24"/>
          <w:szCs w:val="24"/>
        </w:rPr>
        <w:t xml:space="preserve">, </w:t>
      </w:r>
      <w:r>
        <w:rPr>
          <w:rFonts w:ascii="Times New Roman" w:hAnsi="Times New Roman" w:cs="Times New Roman"/>
          <w:i/>
          <w:iCs/>
          <w:sz w:val="24"/>
          <w:szCs w:val="24"/>
        </w:rPr>
        <w:t>September</w:t>
      </w:r>
      <w:r>
        <w:rPr>
          <w:rFonts w:ascii="Times New Roman" w:hAnsi="Times New Roman" w:cs="Times New Roman"/>
          <w:sz w:val="24"/>
          <w:szCs w:val="24"/>
        </w:rPr>
        <w:t>. https://doi.org/10.2139/ssrn.3693030</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Kaasalainen, S., Coker, E., Dolovich, L., Papaioannou, A., Hadjistavropoulos, T., Emili, A., &amp; Ploeg, J. (2007). Pain management decision making among long-term care physicians and nurses. </w:t>
      </w:r>
      <w:r>
        <w:rPr>
          <w:rFonts w:ascii="Times New Roman" w:hAnsi="Times New Roman" w:cs="Times New Roman"/>
          <w:i/>
          <w:iCs/>
          <w:sz w:val="24"/>
          <w:szCs w:val="24"/>
        </w:rPr>
        <w:t>Western Journal of Nursing Research</w:t>
      </w:r>
      <w:r>
        <w:rPr>
          <w:rFonts w:ascii="Times New Roman" w:hAnsi="Times New Roman" w:cs="Times New Roman"/>
          <w:sz w:val="24"/>
          <w:szCs w:val="24"/>
        </w:rPr>
        <w:t xml:space="preserve">, </w:t>
      </w:r>
      <w:r>
        <w:rPr>
          <w:rFonts w:ascii="Times New Roman" w:hAnsi="Times New Roman" w:cs="Times New Roman"/>
          <w:i/>
          <w:iCs/>
          <w:sz w:val="24"/>
          <w:szCs w:val="24"/>
        </w:rPr>
        <w:t>29</w:t>
      </w:r>
      <w:r>
        <w:rPr>
          <w:rFonts w:ascii="Times New Roman" w:hAnsi="Times New Roman" w:cs="Times New Roman"/>
          <w:sz w:val="24"/>
          <w:szCs w:val="24"/>
        </w:rPr>
        <w:t>(5), 561–580. https://doi.org/10.1177/0193945906295522</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Karlsten, R., Ström, K., &amp; Gunningberg, L. (2005). Improving assessment of postoperative pain in surgical wards by education and training. </w:t>
      </w:r>
      <w:r>
        <w:rPr>
          <w:rFonts w:ascii="Times New Roman" w:hAnsi="Times New Roman" w:cs="Times New Roman"/>
          <w:i/>
          <w:iCs/>
          <w:sz w:val="24"/>
          <w:szCs w:val="24"/>
        </w:rPr>
        <w:t>Quality and Safety in Health Care</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(5), 332–335. https://doi.org/10.1136/qshc.2004.010330</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Kidanemariam, B. Y., Elsholz, T., Simel, L. L., Tesfamariam, E. H., &amp; Andemeskel, Y. M. (2020). Utilization of non-pharmacological methods and the perceived barriers for adult postoperative pain management by the nurses at selected National Hospitals in Asmara, Eritrea. </w:t>
      </w:r>
      <w:r>
        <w:rPr>
          <w:rFonts w:ascii="Times New Roman" w:hAnsi="Times New Roman" w:cs="Times New Roman"/>
          <w:i/>
          <w:iCs/>
          <w:sz w:val="24"/>
          <w:szCs w:val="24"/>
        </w:rPr>
        <w:t>BMC Nursing</w:t>
      </w:r>
      <w:r>
        <w:rPr>
          <w:rFonts w:ascii="Times New Roman" w:hAnsi="Times New Roman" w:cs="Times New Roman"/>
          <w:sz w:val="24"/>
          <w:szCs w:val="24"/>
        </w:rPr>
        <w:t xml:space="preserve">, </w:t>
      </w:r>
      <w:r>
        <w:rPr>
          <w:rFonts w:ascii="Times New Roman" w:hAnsi="Times New Roman" w:cs="Times New Roman"/>
          <w:i/>
          <w:iCs/>
          <w:sz w:val="24"/>
          <w:szCs w:val="24"/>
        </w:rPr>
        <w:t>19</w:t>
      </w:r>
      <w:r>
        <w:rPr>
          <w:rFonts w:ascii="Times New Roman" w:hAnsi="Times New Roman" w:cs="Times New Roman"/>
          <w:sz w:val="24"/>
          <w:szCs w:val="24"/>
        </w:rPr>
        <w:t>(1), 1–10. https://doi.org/10.1186/s12912-020-00492-0</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Kiekkas, P., Gardeli, P., Bakalis, N., Stefanopoulos, N., Adamopoulou, K., Avdulla, C., Tzourala, G., &amp; Konstantinou, E. (2015). Predictors of Nurses’ Knowledge and Attitudes Toward Postoperative Pain in Greece. </w:t>
      </w:r>
      <w:r>
        <w:rPr>
          <w:rFonts w:ascii="Times New Roman" w:hAnsi="Times New Roman" w:cs="Times New Roman"/>
          <w:i/>
          <w:iCs/>
          <w:sz w:val="24"/>
          <w:szCs w:val="24"/>
        </w:rPr>
        <w:t>Pain Management Nursing</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(1), 2–10. https://doi.org/10.1016/j.pmn.2014.02.002</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Kiswezi, K., A., Masiira, M., N., &amp; Mugisa, D. (2014). Evaluation of Post operative Pain Control Following Major Surgery at Mulago Hospital. </w:t>
      </w:r>
      <w:r>
        <w:rPr>
          <w:rFonts w:ascii="Times New Roman" w:hAnsi="Times New Roman" w:cs="Times New Roman"/>
          <w:i/>
          <w:iCs/>
          <w:sz w:val="24"/>
          <w:szCs w:val="24"/>
        </w:rPr>
        <w:t>East and Central African Journal of Surgery</w:t>
      </w:r>
      <w:r>
        <w:rPr>
          <w:rFonts w:ascii="Times New Roman" w:hAnsi="Times New Roman" w:cs="Times New Roman"/>
          <w:sz w:val="24"/>
          <w:szCs w:val="24"/>
        </w:rPr>
        <w:t xml:space="preserve">, </w:t>
      </w:r>
      <w:r>
        <w:rPr>
          <w:rFonts w:ascii="Times New Roman" w:hAnsi="Times New Roman" w:cs="Times New Roman"/>
          <w:i/>
          <w:iCs/>
          <w:sz w:val="24"/>
          <w:szCs w:val="24"/>
        </w:rPr>
        <w:t>19 No.2</w:t>
      </w:r>
      <w:r>
        <w:rPr>
          <w:rFonts w:ascii="Times New Roman" w:hAnsi="Times New Roman" w:cs="Times New Roman"/>
          <w:sz w:val="24"/>
          <w:szCs w:val="24"/>
        </w:rPr>
        <w:t>.</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Kituyi W.P, Imbaya K.K, Wambani J.O, Sisenda T.M, K. R. T. (2011). Postoperative Pain Management: Clinicians’ Knowledge and Practices on Assessment and Measurement at Moi Teaching and Referral Hospital. </w:t>
      </w:r>
      <w:r>
        <w:rPr>
          <w:rFonts w:ascii="Times New Roman" w:hAnsi="Times New Roman" w:cs="Times New Roman"/>
          <w:i/>
          <w:iCs/>
          <w:sz w:val="24"/>
          <w:szCs w:val="24"/>
        </w:rPr>
        <w:t>East and Central African Journal of Surgery</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(2).</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Kiwanuka, F., &amp; Masaba, R. (2018). Nurses’ knowledge, attitude and practices regarding pain assessment among patients with cancer at Uganda Cancer Institute. </w:t>
      </w:r>
      <w:r>
        <w:rPr>
          <w:rFonts w:ascii="Times New Roman" w:hAnsi="Times New Roman" w:cs="Times New Roman"/>
          <w:i/>
          <w:iCs/>
          <w:sz w:val="24"/>
          <w:szCs w:val="24"/>
        </w:rPr>
        <w:t>Journal of Analytical Research in Clinical Medicine</w:t>
      </w:r>
      <w:r>
        <w:rPr>
          <w:rFonts w:ascii="Times New Roman" w:hAnsi="Times New Roman" w:cs="Times New Roman"/>
          <w:sz w:val="24"/>
          <w:szCs w:val="24"/>
        </w:rPr>
        <w:t xml:space="preserve">, </w:t>
      </w:r>
      <w:r>
        <w:rPr>
          <w:rFonts w:ascii="Times New Roman" w:hAnsi="Times New Roman" w:cs="Times New Roman"/>
          <w:i/>
          <w:iCs/>
          <w:sz w:val="24"/>
          <w:szCs w:val="24"/>
        </w:rPr>
        <w:t>6</w:t>
      </w:r>
      <w:r>
        <w:rPr>
          <w:rFonts w:ascii="Times New Roman" w:hAnsi="Times New Roman" w:cs="Times New Roman"/>
          <w:sz w:val="24"/>
          <w:szCs w:val="24"/>
        </w:rPr>
        <w:t>(2), 72–79. https://doi.org/10.15171/jarcm.2018.011</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Kizza, I. (2012). Nurses’ Knowledge and Practices Related to Pain Assessment in Critically ill Patients at Mulago Hospital, Uganda. </w:t>
      </w:r>
      <w:r>
        <w:rPr>
          <w:rFonts w:ascii="Times New Roman" w:hAnsi="Times New Roman" w:cs="Times New Roman"/>
          <w:i/>
          <w:iCs/>
          <w:sz w:val="24"/>
          <w:szCs w:val="24"/>
        </w:rPr>
        <w:t>Dissertation</w:t>
      </w:r>
      <w:r>
        <w:rPr>
          <w:rFonts w:ascii="Times New Roman" w:hAnsi="Times New Roman" w:cs="Times New Roman"/>
          <w:sz w:val="24"/>
          <w:szCs w:val="24"/>
        </w:rPr>
        <w:t xml:space="preserve">, </w:t>
      </w:r>
      <w:r>
        <w:rPr>
          <w:rFonts w:ascii="Times New Roman" w:hAnsi="Times New Roman" w:cs="Times New Roman"/>
          <w:i/>
          <w:iCs/>
          <w:sz w:val="24"/>
          <w:szCs w:val="24"/>
        </w:rPr>
        <w:t>November</w:t>
      </w:r>
      <w:r>
        <w:rPr>
          <w:rFonts w:ascii="Times New Roman" w:hAnsi="Times New Roman" w:cs="Times New Roman"/>
          <w:sz w:val="24"/>
          <w:szCs w:val="24"/>
        </w:rPr>
        <w:t>, 87. http://ihi.eprints.org/1598/</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Knowledge, P. N., &amp; Rieman, M. T. (2007). </w:t>
      </w:r>
      <w:r>
        <w:rPr>
          <w:rFonts w:ascii="Times New Roman" w:hAnsi="Times New Roman" w:cs="Times New Roman"/>
          <w:i/>
          <w:iCs/>
          <w:sz w:val="24"/>
          <w:szCs w:val="24"/>
        </w:rPr>
        <w:t>Pain Management Competency</w:t>
      </w:r>
      <w:r>
        <w:rPr>
          <w:rFonts w:ascii="Times New Roman" w:hAnsi="Times New Roman" w:cs="Times New Roman"/>
          <w:sz w:val="24"/>
          <w:szCs w:val="24"/>
        </w:rPr>
        <w:t xml:space="preserve">. </w:t>
      </w:r>
      <w:r>
        <w:rPr>
          <w:rFonts w:ascii="Times New Roman" w:hAnsi="Times New Roman" w:cs="Times New Roman"/>
          <w:i/>
          <w:iCs/>
          <w:sz w:val="24"/>
          <w:szCs w:val="24"/>
        </w:rPr>
        <w:t>33</w:t>
      </w:r>
      <w:r>
        <w:rPr>
          <w:rFonts w:ascii="Times New Roman" w:hAnsi="Times New Roman" w:cs="Times New Roman"/>
          <w:sz w:val="24"/>
          <w:szCs w:val="24"/>
        </w:rPr>
        <w:t>(4), 313–314.</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Komann, M., Weinmann, C., Schwenkglenks, M., &amp; Meissner, W. (2019). Non-pharmacological methods and post-operative pain relief: An observational study. </w:t>
      </w:r>
      <w:r>
        <w:rPr>
          <w:rFonts w:ascii="Times New Roman" w:hAnsi="Times New Roman" w:cs="Times New Roman"/>
          <w:i/>
          <w:iCs/>
          <w:sz w:val="24"/>
          <w:szCs w:val="24"/>
        </w:rPr>
        <w:t>Anesthesiology and Pain Medicine</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(2), 1–7. https://doi.org/10.5812/aapm.84674</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Köse Tamer, L., &amp; Sucu Dağ, G. (2020). The Assessment of Pain and the Quality of Postoperative Pain Management in Surgical Patients. </w:t>
      </w:r>
      <w:r>
        <w:rPr>
          <w:rFonts w:ascii="Times New Roman" w:hAnsi="Times New Roman" w:cs="Times New Roman"/>
          <w:i/>
          <w:iCs/>
          <w:sz w:val="24"/>
          <w:szCs w:val="24"/>
        </w:rPr>
        <w:t>SAGE Open</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(2). https://doi.org/10.1177/2158244020924377</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Le-wendling, L., Medicine, P. P., Glick, W., Medicine, P. P., Pain, P., Tighe, P., &amp; Medicine, P. P. (2018). </w:t>
      </w:r>
      <w:r>
        <w:rPr>
          <w:rFonts w:ascii="Times New Roman" w:hAnsi="Times New Roman" w:cs="Times New Roman"/>
          <w:i/>
          <w:iCs/>
          <w:sz w:val="24"/>
          <w:szCs w:val="24"/>
        </w:rPr>
        <w:t>HHS Public Access</w:t>
      </w:r>
      <w:r>
        <w:rPr>
          <w:rFonts w:ascii="Times New Roman" w:hAnsi="Times New Roman" w:cs="Times New Roman"/>
          <w:sz w:val="24"/>
          <w:szCs w:val="24"/>
        </w:rPr>
        <w:t xml:space="preserve">. </w:t>
      </w:r>
      <w:r>
        <w:rPr>
          <w:rFonts w:ascii="Times New Roman" w:hAnsi="Times New Roman" w:cs="Times New Roman"/>
          <w:i/>
          <w:iCs/>
          <w:sz w:val="24"/>
          <w:szCs w:val="24"/>
        </w:rPr>
        <w:t>32</w:t>
      </w:r>
      <w:r>
        <w:rPr>
          <w:rFonts w:ascii="Times New Roman" w:hAnsi="Times New Roman" w:cs="Times New Roman"/>
          <w:sz w:val="24"/>
          <w:szCs w:val="24"/>
        </w:rPr>
        <w:t>(4), 200–208. https://doi.org/10.1097/BTO.0000000000000245.Goals</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Maestro-Gonzalez, Alba; Mosteiro-Diaz, Pilar, M.; Fernandez-Garrido, Julio; Zuazua-Rico, D. (2021). Determinants of Knowledge of Pain among Nurses in a Tertiary Hospital in Spain. </w:t>
      </w:r>
      <w:r>
        <w:rPr>
          <w:rFonts w:ascii="Times New Roman" w:hAnsi="Times New Roman" w:cs="Times New Roman"/>
          <w:i/>
          <w:iCs/>
          <w:sz w:val="24"/>
          <w:szCs w:val="24"/>
        </w:rPr>
        <w:t>National Library of Medicine</w:t>
      </w:r>
      <w:r>
        <w:rPr>
          <w:rFonts w:ascii="Times New Roman" w:hAnsi="Times New Roman" w:cs="Times New Roman"/>
          <w:sz w:val="24"/>
          <w:szCs w:val="24"/>
        </w:rPr>
        <w:t xml:space="preserve">, </w:t>
      </w:r>
      <w:r>
        <w:rPr>
          <w:rFonts w:ascii="Times New Roman" w:hAnsi="Times New Roman" w:cs="Times New Roman"/>
          <w:i/>
          <w:iCs/>
          <w:sz w:val="24"/>
          <w:szCs w:val="24"/>
        </w:rPr>
        <w:t>22</w:t>
      </w:r>
      <w:r>
        <w:rPr>
          <w:rFonts w:ascii="Times New Roman" w:hAnsi="Times New Roman" w:cs="Times New Roman"/>
          <w:sz w:val="24"/>
          <w:szCs w:val="24"/>
        </w:rPr>
        <w:t>(3). https://doi.org/10.1016/j.pmn.2020.09.002</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Mahama, F., &amp; Ninnoni, J. P. K. (2019). Assessment and Management of Postoperative Pain among Nurses at a Resource-Constraint Teaching Hospital in Ghana. </w:t>
      </w:r>
      <w:r>
        <w:rPr>
          <w:rFonts w:ascii="Times New Roman" w:hAnsi="Times New Roman" w:cs="Times New Roman"/>
          <w:i/>
          <w:iCs/>
          <w:sz w:val="24"/>
          <w:szCs w:val="24"/>
        </w:rPr>
        <w:t>Nursing Research and Practice</w:t>
      </w:r>
      <w:r>
        <w:rPr>
          <w:rFonts w:ascii="Times New Roman" w:hAnsi="Times New Roman" w:cs="Times New Roman"/>
          <w:sz w:val="24"/>
          <w:szCs w:val="24"/>
        </w:rPr>
        <w:t xml:space="preserve">, </w:t>
      </w:r>
      <w:r>
        <w:rPr>
          <w:rFonts w:ascii="Times New Roman" w:hAnsi="Times New Roman" w:cs="Times New Roman"/>
          <w:i/>
          <w:iCs/>
          <w:sz w:val="24"/>
          <w:szCs w:val="24"/>
        </w:rPr>
        <w:t>2019</w:t>
      </w:r>
      <w:r>
        <w:rPr>
          <w:rFonts w:ascii="Times New Roman" w:hAnsi="Times New Roman" w:cs="Times New Roman"/>
          <w:sz w:val="24"/>
          <w:szCs w:val="24"/>
        </w:rPr>
        <w:t>, 1–7. https://doi.org/10.1155/2019/9091467</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Manwere, A., Chipfuwa, T., Mukwamba, M. M., &amp; Chironda, G. (2015). Knowledge and attitudes of registered nurses towards pain management of adult medical patients: A case of Bindura Hospital. </w:t>
      </w:r>
      <w:r>
        <w:rPr>
          <w:rFonts w:ascii="Times New Roman" w:hAnsi="Times New Roman" w:cs="Times New Roman"/>
          <w:i/>
          <w:iCs/>
          <w:sz w:val="24"/>
          <w:szCs w:val="24"/>
        </w:rPr>
        <w:t>Health Science Journal</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(4), 1–6.</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Masigati, H. G., &amp; Chilonga, K. S. (2014). Postoperative pain management outcomes among adults treated at a tertiary hospital in Moshi, Tanzania. </w:t>
      </w:r>
      <w:r>
        <w:rPr>
          <w:rFonts w:ascii="Times New Roman" w:hAnsi="Times New Roman" w:cs="Times New Roman"/>
          <w:i/>
          <w:iCs/>
          <w:sz w:val="24"/>
          <w:szCs w:val="24"/>
        </w:rPr>
        <w:t>Tanzania Journal of Health Research</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(1). https://doi.org/10.4314/thrb.v16i1.7</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McGillion, M., Dubrowski, A., Stremler, R., Watt-Watson, J., Campbell, F., McCartney, C., Victor, J. C., Wiseman, J., Snell, L., Costello, J., Robb, A., Nelson, S., Stinson, J., Hunter, J., Dao, T., Promislow, S., McNaughton, N., White, S., Shobbrook, C., … Silver, I. (2011). The Postoperative Pain Assessment Skills pilot trial. </w:t>
      </w:r>
      <w:r>
        <w:rPr>
          <w:rFonts w:ascii="Times New Roman" w:hAnsi="Times New Roman" w:cs="Times New Roman"/>
          <w:i/>
          <w:iCs/>
          <w:sz w:val="24"/>
          <w:szCs w:val="24"/>
        </w:rPr>
        <w:t>Pain Research and Management</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(6), 433–439. https://doi.org/10.1155/2011/278397</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Meissner, W., Coluzzi, F., Fletcher, D., Huygen, F., Morlion, B., Neugebauer, E., Pérez, A. M., &amp; Pergolizzi, J. (2015). Improving the management of post-operative acute pain: Priorities for change. </w:t>
      </w:r>
      <w:r>
        <w:rPr>
          <w:rFonts w:ascii="Times New Roman" w:hAnsi="Times New Roman" w:cs="Times New Roman"/>
          <w:i/>
          <w:iCs/>
          <w:sz w:val="24"/>
          <w:szCs w:val="24"/>
        </w:rPr>
        <w:t>Current Medical Research and Opinion</w:t>
      </w:r>
      <w:r>
        <w:rPr>
          <w:rFonts w:ascii="Times New Roman" w:hAnsi="Times New Roman" w:cs="Times New Roman"/>
          <w:sz w:val="24"/>
          <w:szCs w:val="24"/>
        </w:rPr>
        <w:t xml:space="preserve">, </w:t>
      </w:r>
      <w:r>
        <w:rPr>
          <w:rFonts w:ascii="Times New Roman" w:hAnsi="Times New Roman" w:cs="Times New Roman"/>
          <w:i/>
          <w:iCs/>
          <w:sz w:val="24"/>
          <w:szCs w:val="24"/>
        </w:rPr>
        <w:t>31</w:t>
      </w:r>
      <w:r>
        <w:rPr>
          <w:rFonts w:ascii="Times New Roman" w:hAnsi="Times New Roman" w:cs="Times New Roman"/>
          <w:sz w:val="24"/>
          <w:szCs w:val="24"/>
        </w:rPr>
        <w:t>(11), 2131–2143. https://doi.org/10.1185/03007995.2015.1092122</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Menlah, A., Garti, I., Amoo, S. A., Atakro, C. A., Amponsah, C., &amp; Agyare, D. F. (2018). Knowledge, Attitudes, and Practices of Postoperative Pain Management by Nurses in Selected District Hospitals in Ghana. </w:t>
      </w:r>
      <w:r>
        <w:rPr>
          <w:rFonts w:ascii="Times New Roman" w:hAnsi="Times New Roman" w:cs="Times New Roman"/>
          <w:i/>
          <w:iCs/>
          <w:sz w:val="24"/>
          <w:szCs w:val="24"/>
        </w:rPr>
        <w:t>SAGE Open Nursing</w:t>
      </w:r>
      <w:r>
        <w:rPr>
          <w:rFonts w:ascii="Times New Roman" w:hAnsi="Times New Roman" w:cs="Times New Roman"/>
          <w:sz w:val="24"/>
          <w:szCs w:val="24"/>
        </w:rPr>
        <w:t xml:space="preserve">, </w:t>
      </w:r>
      <w:r>
        <w:rPr>
          <w:rFonts w:ascii="Times New Roman" w:hAnsi="Times New Roman" w:cs="Times New Roman"/>
          <w:i/>
          <w:iCs/>
          <w:sz w:val="24"/>
          <w:szCs w:val="24"/>
        </w:rPr>
        <w:t>4</w:t>
      </w:r>
      <w:r>
        <w:rPr>
          <w:rFonts w:ascii="Times New Roman" w:hAnsi="Times New Roman" w:cs="Times New Roman"/>
          <w:sz w:val="24"/>
          <w:szCs w:val="24"/>
        </w:rPr>
        <w:t>, 1–11. https://doi.org/10.1177/2377960818790383</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Myles, P. S., Myles, D. B., Galagher, W., Boyd, D., Chew, C., MacDonald, N., &amp; Dennis, A. (2017). Measuring acute postoperative pain using the visual analog scale: The minimal clinically important difference and patient acceptable symptom state. </w:t>
      </w:r>
      <w:r>
        <w:rPr>
          <w:rFonts w:ascii="Times New Roman" w:hAnsi="Times New Roman" w:cs="Times New Roman"/>
          <w:i/>
          <w:iCs/>
          <w:sz w:val="24"/>
          <w:szCs w:val="24"/>
        </w:rPr>
        <w:t>British Journal of Anaesthesia</w:t>
      </w:r>
      <w:r>
        <w:rPr>
          <w:rFonts w:ascii="Times New Roman" w:hAnsi="Times New Roman" w:cs="Times New Roman"/>
          <w:sz w:val="24"/>
          <w:szCs w:val="24"/>
        </w:rPr>
        <w:t xml:space="preserve">, </w:t>
      </w:r>
      <w:r>
        <w:rPr>
          <w:rFonts w:ascii="Times New Roman" w:hAnsi="Times New Roman" w:cs="Times New Roman"/>
          <w:i/>
          <w:iCs/>
          <w:sz w:val="24"/>
          <w:szCs w:val="24"/>
        </w:rPr>
        <w:t>118</w:t>
      </w:r>
      <w:r>
        <w:rPr>
          <w:rFonts w:ascii="Times New Roman" w:hAnsi="Times New Roman" w:cs="Times New Roman"/>
          <w:sz w:val="24"/>
          <w:szCs w:val="24"/>
        </w:rPr>
        <w:t>(3), 424–429. https://doi.org/10.1093/bja/aew466</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N, Bakalis; G, Vescio; M, Chouti; E, Michalopoulou; P, kiekkas; A, Rizzuto; M, Papandrea; G, Sena; A, Barberio; V, Tiesi; D, Gallo; G, Curro; M, Ammendola; S, De Franciscis; N, F. (2018). Nursing assessment of post-operative pain in patients undergoing general (thoracic) surgery. </w:t>
      </w:r>
      <w:r>
        <w:rPr>
          <w:rFonts w:ascii="Times New Roman" w:hAnsi="Times New Roman" w:cs="Times New Roman"/>
          <w:i/>
          <w:iCs/>
          <w:sz w:val="24"/>
          <w:szCs w:val="24"/>
        </w:rPr>
        <w:t>Blood, Heart and Circulation</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(4), 1–7. https://doi.org/10.15761/BHC.1000148</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N, B., G, V., M, C., E, M., P, K., A, R., M, P., G, S., A, B., V, T., D, G., G, G., G, C., M, A., S, D. F., &amp; N, F. (2018). Nursing assessment of post-operative pain in patients undergoing general (thoracic) surgery. </w:t>
      </w:r>
      <w:r>
        <w:rPr>
          <w:rFonts w:ascii="Times New Roman" w:hAnsi="Times New Roman" w:cs="Times New Roman"/>
          <w:i/>
          <w:iCs/>
          <w:sz w:val="24"/>
          <w:szCs w:val="24"/>
        </w:rPr>
        <w:t>Blood, Heart and Circulation</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(4), 1–7. https://doi.org/10.15761/bhc.1000148</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Naresh Manandhar1,* , Isha Amatya1, Arundhati Gautam2 , Gaurav Kumar2 , Himanshu Ahlawat2 , Nitesh Adhikari2, P. K. M., &amp; </w:t>
      </w:r>
      <w:r>
        <w:rPr>
          <w:rFonts w:ascii="Times New Roman" w:hAnsi="Times New Roman" w:cs="Times New Roman"/>
          <w:sz w:val="24"/>
          <w:szCs w:val="24"/>
          <w:vertAlign w:val="superscript"/>
        </w:rPr>
        <w:t>1</w:t>
      </w:r>
      <w:r>
        <w:rPr>
          <w:rFonts w:ascii="Times New Roman" w:hAnsi="Times New Roman" w:cs="Times New Roman"/>
          <w:sz w:val="24"/>
          <w:szCs w:val="24"/>
        </w:rPr>
        <w:t xml:space="preserve">Department. (2020). </w:t>
      </w:r>
      <w:r>
        <w:rPr>
          <w:rFonts w:ascii="Times New Roman" w:hAnsi="Times New Roman" w:cs="Times New Roman"/>
          <w:i/>
          <w:iCs/>
          <w:sz w:val="24"/>
          <w:szCs w:val="24"/>
        </w:rPr>
        <w:t>Original Research Article Nurses ’ Knowledge , Attitude and Practice Regarding Postoperative Pain Management At</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(1), 53–56.</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Ninnoni, J. P. K. (2019). </w:t>
      </w:r>
      <w:r>
        <w:rPr>
          <w:rFonts w:ascii="Times New Roman" w:hAnsi="Times New Roman" w:cs="Times New Roman"/>
          <w:i/>
          <w:iCs/>
          <w:sz w:val="24"/>
          <w:szCs w:val="24"/>
        </w:rPr>
        <w:t>Assessment and Management of Postoperative Pain among Nurses at a Resource-Constraint Teaching Hospital in Ghana</w:t>
      </w:r>
      <w:r>
        <w:rPr>
          <w:rFonts w:ascii="Times New Roman" w:hAnsi="Times New Roman" w:cs="Times New Roman"/>
          <w:sz w:val="24"/>
          <w:szCs w:val="24"/>
        </w:rPr>
        <w:t xml:space="preserve">. </w:t>
      </w:r>
      <w:r>
        <w:rPr>
          <w:rFonts w:ascii="Times New Roman" w:hAnsi="Times New Roman" w:cs="Times New Roman"/>
          <w:i/>
          <w:iCs/>
          <w:sz w:val="24"/>
          <w:szCs w:val="24"/>
        </w:rPr>
        <w:t>2019</w:t>
      </w:r>
      <w:r>
        <w:rPr>
          <w:rFonts w:ascii="Times New Roman" w:hAnsi="Times New Roman" w:cs="Times New Roman"/>
          <w:sz w:val="24"/>
          <w:szCs w:val="24"/>
        </w:rPr>
        <w:t>. https://doi.org/10.1155/2019/9091467</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Oyebanji, O. J. A. (2017). Research Variables: Types, Uses and Definition of Terms. </w:t>
      </w:r>
      <w:r>
        <w:rPr>
          <w:rFonts w:ascii="Times New Roman" w:hAnsi="Times New Roman" w:cs="Times New Roman"/>
          <w:i/>
          <w:iCs/>
          <w:sz w:val="24"/>
          <w:szCs w:val="24"/>
        </w:rPr>
        <w:t>Research in Education</w:t>
      </w:r>
      <w:r>
        <w:rPr>
          <w:rFonts w:ascii="Times New Roman" w:hAnsi="Times New Roman" w:cs="Times New Roman"/>
          <w:sz w:val="24"/>
          <w:szCs w:val="24"/>
        </w:rPr>
        <w:t xml:space="preserve">, </w:t>
      </w:r>
      <w:r>
        <w:rPr>
          <w:rFonts w:ascii="Times New Roman" w:hAnsi="Times New Roman" w:cs="Times New Roman"/>
          <w:i/>
          <w:iCs/>
          <w:sz w:val="24"/>
          <w:szCs w:val="24"/>
        </w:rPr>
        <w:t>July 2017</w:t>
      </w:r>
      <w:r>
        <w:rPr>
          <w:rFonts w:ascii="Times New Roman" w:hAnsi="Times New Roman" w:cs="Times New Roman"/>
          <w:sz w:val="24"/>
          <w:szCs w:val="24"/>
        </w:rPr>
        <w:t>, 43–55. https://www.researchgate.net/publication/342897909</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Pasero, C., Quinlan-colwell, A., Rae, D., Broglio, K., &amp; Drew, D. (2016). Position Statement American Society for Pain Management Nursing Position Statement : Prescribing and Administering Opioid Doses Based Solely on Pain Intensity. </w:t>
      </w:r>
      <w:r>
        <w:rPr>
          <w:rFonts w:ascii="Times New Roman" w:hAnsi="Times New Roman" w:cs="Times New Roman"/>
          <w:i/>
          <w:iCs/>
          <w:sz w:val="24"/>
          <w:szCs w:val="24"/>
        </w:rPr>
        <w:t>Pain Management Nursing</w:t>
      </w:r>
      <w:r>
        <w:rPr>
          <w:rFonts w:ascii="Times New Roman" w:hAnsi="Times New Roman" w:cs="Times New Roman"/>
          <w:sz w:val="24"/>
          <w:szCs w:val="24"/>
        </w:rPr>
        <w:t xml:space="preserve">, </w:t>
      </w:r>
      <w:r>
        <w:rPr>
          <w:rFonts w:ascii="Times New Roman" w:hAnsi="Times New Roman" w:cs="Times New Roman"/>
          <w:i/>
          <w:iCs/>
          <w:sz w:val="24"/>
          <w:szCs w:val="24"/>
        </w:rPr>
        <w:t>17</w:t>
      </w:r>
      <w:r>
        <w:rPr>
          <w:rFonts w:ascii="Times New Roman" w:hAnsi="Times New Roman" w:cs="Times New Roman"/>
          <w:sz w:val="24"/>
          <w:szCs w:val="24"/>
        </w:rPr>
        <w:t>(3), 170–180. https://doi.org/10.1016/j.pmn.2016.03.001</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i/>
          <w:iCs/>
          <w:sz w:val="24"/>
          <w:szCs w:val="24"/>
        </w:rPr>
        <w:t>Persistent Pain ; What is it ? What can we do about it ? Impact of pain</w:t>
      </w:r>
      <w:r>
        <w:rPr>
          <w:rFonts w:ascii="Times New Roman" w:hAnsi="Times New Roman" w:cs="Times New Roman"/>
          <w:sz w:val="24"/>
          <w:szCs w:val="24"/>
        </w:rPr>
        <w:t>. (n.d.).</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Polit, D. F., &amp; Beck, C. T. (2017). </w:t>
      </w:r>
      <w:r>
        <w:rPr>
          <w:rFonts w:ascii="Times New Roman" w:hAnsi="Times New Roman" w:cs="Times New Roman"/>
          <w:i/>
          <w:iCs/>
          <w:sz w:val="24"/>
          <w:szCs w:val="24"/>
        </w:rPr>
        <w:t>Nursing research: generating and assessing evidence for nursing practice</w:t>
      </w:r>
      <w:r>
        <w:rPr>
          <w:rFonts w:ascii="Times New Roman" w:hAnsi="Times New Roman" w:cs="Times New Roman"/>
          <w:sz w:val="24"/>
          <w:szCs w:val="24"/>
        </w:rPr>
        <w:t xml:space="preserve"> (Tenth edit). Philadelphia : Wolters Kluwer Health.</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Polit Denise and Cherly Beck. (2008). </w:t>
      </w:r>
      <w:r>
        <w:rPr>
          <w:rFonts w:ascii="Times New Roman" w:hAnsi="Times New Roman" w:cs="Times New Roman"/>
          <w:i/>
          <w:iCs/>
          <w:sz w:val="24"/>
          <w:szCs w:val="24"/>
        </w:rPr>
        <w:t>Nursing Research: Generating and Assessing Evidence for Nursing Practice</w:t>
      </w:r>
      <w:r>
        <w:rPr>
          <w:rFonts w:ascii="Times New Roman" w:hAnsi="Times New Roman" w:cs="Times New Roman"/>
          <w:sz w:val="24"/>
          <w:szCs w:val="24"/>
        </w:rPr>
        <w:t xml:space="preserve"> (8th Editio). Philadelphia.</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Rahimi-Madiseh, M., Tavakol, M., &amp; Dennick, R. (2010). A quantitative study of Iranian nursing students’ knowledge and attitudes towards pain: Implication for education. </w:t>
      </w:r>
      <w:r>
        <w:rPr>
          <w:rFonts w:ascii="Times New Roman" w:hAnsi="Times New Roman" w:cs="Times New Roman"/>
          <w:i/>
          <w:iCs/>
          <w:sz w:val="24"/>
          <w:szCs w:val="24"/>
        </w:rPr>
        <w:t>International Journal of Nursing Practice</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(5), 478–483. https://doi.org/10.1111/j.1440-172X.2010.01872.x</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Salim Ahmed Nezar, Tuffaha Ghassan Mohammed, B. M. J. (2020). Impact of a pain management program on nurses’ knowledge and attitude toward pain in United Arab Emirates: Experimental-four Solomon group design. </w:t>
      </w:r>
      <w:r>
        <w:rPr>
          <w:rFonts w:ascii="Times New Roman" w:hAnsi="Times New Roman" w:cs="Times New Roman"/>
          <w:i/>
          <w:iCs/>
          <w:sz w:val="24"/>
          <w:szCs w:val="24"/>
        </w:rPr>
        <w:t>National Library of Medicine</w:t>
      </w:r>
      <w:r>
        <w:rPr>
          <w:rFonts w:ascii="Times New Roman" w:hAnsi="Times New Roman" w:cs="Times New Roman"/>
          <w:sz w:val="24"/>
          <w:szCs w:val="24"/>
        </w:rPr>
        <w:t>. https://doi.org/10.1016/j.apnr.2020.151314</w:t>
      </w:r>
    </w:p>
    <w:p>
      <w:pPr>
        <w:widowControl w:val="0"/>
        <w:autoSpaceDE w:val="0"/>
        <w:autoSpaceDN w:val="0"/>
        <w:adjustRightInd w:val="0"/>
        <w:spacing w:before="100" w:after="100" w:line="480" w:lineRule="auto"/>
        <w:ind w:left="480" w:hanging="480"/>
        <w:rPr>
          <w:rFonts w:ascii="Times New Roman" w:hAnsi="Times New Roman" w:cs="Times New Roman"/>
          <w:sz w:val="24"/>
          <w:szCs w:val="24"/>
          <w:lang w:val="fr-FR"/>
        </w:rPr>
      </w:pPr>
      <w:r>
        <w:rPr>
          <w:rFonts w:ascii="Times New Roman" w:hAnsi="Times New Roman" w:cs="Times New Roman"/>
          <w:sz w:val="24"/>
          <w:szCs w:val="24"/>
        </w:rPr>
        <w:t xml:space="preserve">Samarkandi, O. A. (2018). Knowledge and attitudes of nurses toward pain management. </w:t>
      </w:r>
      <w:r>
        <w:rPr>
          <w:rFonts w:ascii="Times New Roman" w:hAnsi="Times New Roman" w:cs="Times New Roman"/>
          <w:i/>
          <w:iCs/>
          <w:sz w:val="24"/>
          <w:szCs w:val="24"/>
          <w:lang w:val="fr-FR"/>
        </w:rPr>
        <w:t>Saudi Journal of Anaesthesia</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12</w:t>
      </w:r>
      <w:r>
        <w:rPr>
          <w:rFonts w:ascii="Times New Roman" w:hAnsi="Times New Roman" w:cs="Times New Roman"/>
          <w:sz w:val="24"/>
          <w:szCs w:val="24"/>
          <w:lang w:val="fr-FR"/>
        </w:rPr>
        <w:t>(2), 220–226. https://doi.org/10.4103/sja.SJA_587_17</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lang w:val="fr-FR"/>
        </w:rPr>
        <w:t xml:space="preserve">Serra, M. A. A. de O., Filho, F. F. da S., de Albuquerque, A. de O., dos Santos, C. A. A., de Carvalho Junior, J. F., &amp; e Silva, R. de A. (2015). </w:t>
      </w:r>
      <w:r>
        <w:rPr>
          <w:rFonts w:ascii="Times New Roman" w:hAnsi="Times New Roman" w:cs="Times New Roman"/>
          <w:sz w:val="24"/>
          <w:szCs w:val="24"/>
        </w:rPr>
        <w:t xml:space="preserve">Nursing care in the immediate postoperative period: A crosssectional study. </w:t>
      </w:r>
      <w:r>
        <w:rPr>
          <w:rFonts w:ascii="Times New Roman" w:hAnsi="Times New Roman" w:cs="Times New Roman"/>
          <w:i/>
          <w:iCs/>
          <w:sz w:val="24"/>
          <w:szCs w:val="24"/>
        </w:rPr>
        <w:t>Online Brazilian Journal of Nursing</w:t>
      </w:r>
      <w:r>
        <w:rPr>
          <w:rFonts w:ascii="Times New Roman" w:hAnsi="Times New Roman" w:cs="Times New Roman"/>
          <w:sz w:val="24"/>
          <w:szCs w:val="24"/>
        </w:rPr>
        <w:t xml:space="preserve">, </w:t>
      </w:r>
      <w:r>
        <w:rPr>
          <w:rFonts w:ascii="Times New Roman" w:hAnsi="Times New Roman" w:cs="Times New Roman"/>
          <w:i/>
          <w:iCs/>
          <w:sz w:val="24"/>
          <w:szCs w:val="24"/>
        </w:rPr>
        <w:t>14</w:t>
      </w:r>
      <w:r>
        <w:rPr>
          <w:rFonts w:ascii="Times New Roman" w:hAnsi="Times New Roman" w:cs="Times New Roman"/>
          <w:sz w:val="24"/>
          <w:szCs w:val="24"/>
        </w:rPr>
        <w:t>(2), 161–167. https://doi.org/10.17665/1676-4285.20155082</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Shoqirat, N., Mahasneh, D., Al-Khawaldeh, O., &amp; Al Hadid, L. (2019). Nurses’ Knowledge, Attitudes, and Barriers Toward Pain Management Among Postoperative Patients in Jordan. </w:t>
      </w:r>
      <w:r>
        <w:rPr>
          <w:rFonts w:ascii="Times New Roman" w:hAnsi="Times New Roman" w:cs="Times New Roman"/>
          <w:i/>
          <w:iCs/>
          <w:sz w:val="24"/>
          <w:szCs w:val="24"/>
        </w:rPr>
        <w:t>Journal of Perianesthesia Nursing</w:t>
      </w:r>
      <w:r>
        <w:rPr>
          <w:rFonts w:ascii="Times New Roman" w:hAnsi="Times New Roman" w:cs="Times New Roman"/>
          <w:sz w:val="24"/>
          <w:szCs w:val="24"/>
        </w:rPr>
        <w:t xml:space="preserve">, </w:t>
      </w:r>
      <w:r>
        <w:rPr>
          <w:rFonts w:ascii="Times New Roman" w:hAnsi="Times New Roman" w:cs="Times New Roman"/>
          <w:i/>
          <w:iCs/>
          <w:sz w:val="24"/>
          <w:szCs w:val="24"/>
        </w:rPr>
        <w:t>34</w:t>
      </w:r>
      <w:r>
        <w:rPr>
          <w:rFonts w:ascii="Times New Roman" w:hAnsi="Times New Roman" w:cs="Times New Roman"/>
          <w:sz w:val="24"/>
          <w:szCs w:val="24"/>
        </w:rPr>
        <w:t>(2), 359–367. https://doi.org/10.1016/j.jopan.2018.05.012</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Şimşek Yaban, Z. (2019). Usage of Non-Pharmacologic Methods on Postoperative Pain Management by Nurses: Sample of Turkey. </w:t>
      </w:r>
      <w:r>
        <w:rPr>
          <w:rFonts w:ascii="Times New Roman" w:hAnsi="Times New Roman" w:cs="Times New Roman"/>
          <w:i/>
          <w:iCs/>
          <w:sz w:val="24"/>
          <w:szCs w:val="24"/>
        </w:rPr>
        <w:t>International Journal of Caring Sciences</w:t>
      </w:r>
      <w:r>
        <w:rPr>
          <w:rFonts w:ascii="Times New Roman" w:hAnsi="Times New Roman" w:cs="Times New Roman"/>
          <w:sz w:val="24"/>
          <w:szCs w:val="24"/>
        </w:rPr>
        <w:t xml:space="preserve">, </w:t>
      </w:r>
      <w:r>
        <w:rPr>
          <w:rFonts w:ascii="Times New Roman" w:hAnsi="Times New Roman" w:cs="Times New Roman"/>
          <w:i/>
          <w:iCs/>
          <w:sz w:val="24"/>
          <w:szCs w:val="24"/>
        </w:rPr>
        <w:t>12</w:t>
      </w:r>
      <w:r>
        <w:rPr>
          <w:rFonts w:ascii="Times New Roman" w:hAnsi="Times New Roman" w:cs="Times New Roman"/>
          <w:sz w:val="24"/>
          <w:szCs w:val="24"/>
        </w:rPr>
        <w:t>(1), 529–541. http://ezproxy.laureate.net.au/login?url=https://www.proquest.com/docview/2236692900?accountid=176901</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Wang, H. L., &amp; Tsai, Y. F. (2010). Nurses’ knowledge and barriers regarding pain management in intensive care units. </w:t>
      </w:r>
      <w:r>
        <w:rPr>
          <w:rFonts w:ascii="Times New Roman" w:hAnsi="Times New Roman" w:cs="Times New Roman"/>
          <w:i/>
          <w:iCs/>
          <w:sz w:val="24"/>
          <w:szCs w:val="24"/>
        </w:rPr>
        <w:t>Journal of Clinical Nursing</w:t>
      </w:r>
      <w:r>
        <w:rPr>
          <w:rFonts w:ascii="Times New Roman" w:hAnsi="Times New Roman" w:cs="Times New Roman"/>
          <w:sz w:val="24"/>
          <w:szCs w:val="24"/>
        </w:rPr>
        <w:t xml:space="preserve">, </w:t>
      </w:r>
      <w:r>
        <w:rPr>
          <w:rFonts w:ascii="Times New Roman" w:hAnsi="Times New Roman" w:cs="Times New Roman"/>
          <w:i/>
          <w:iCs/>
          <w:sz w:val="24"/>
          <w:szCs w:val="24"/>
        </w:rPr>
        <w:t>19</w:t>
      </w:r>
      <w:r>
        <w:rPr>
          <w:rFonts w:ascii="Times New Roman" w:hAnsi="Times New Roman" w:cs="Times New Roman"/>
          <w:sz w:val="24"/>
          <w:szCs w:val="24"/>
        </w:rPr>
        <w:t>(21–22), 3188–3196. https://doi.org/10.1111/j.1365-2702.2010.03226.x</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Yin, H. H., Tse, M. M. Y., &amp; Wong, F. K. Y. (2015). Systematic review of the predisposing, enabling, and reinforcing factors which influence nursing administration of opioids in the postoperative period. </w:t>
      </w:r>
      <w:r>
        <w:rPr>
          <w:rFonts w:ascii="Times New Roman" w:hAnsi="Times New Roman" w:cs="Times New Roman"/>
          <w:i/>
          <w:iCs/>
          <w:sz w:val="24"/>
          <w:szCs w:val="24"/>
        </w:rPr>
        <w:t>Japan Journal of Nursing Science</w:t>
      </w:r>
      <w:r>
        <w:rPr>
          <w:rFonts w:ascii="Times New Roman" w:hAnsi="Times New Roman" w:cs="Times New Roman"/>
          <w:sz w:val="24"/>
          <w:szCs w:val="24"/>
        </w:rPr>
        <w:t xml:space="preserve">, </w:t>
      </w:r>
      <w:r>
        <w:rPr>
          <w:rFonts w:ascii="Times New Roman" w:hAnsi="Times New Roman" w:cs="Times New Roman"/>
          <w:i/>
          <w:iCs/>
          <w:sz w:val="24"/>
          <w:szCs w:val="24"/>
        </w:rPr>
        <w:t>12</w:t>
      </w:r>
      <w:r>
        <w:rPr>
          <w:rFonts w:ascii="Times New Roman" w:hAnsi="Times New Roman" w:cs="Times New Roman"/>
          <w:sz w:val="24"/>
          <w:szCs w:val="24"/>
        </w:rPr>
        <w:t>(4), 259–275. https://doi.org/10.1111/jjns.12075</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Yüceer, S. (2011). Nursing approaches in the postoperative pain management. </w:t>
      </w:r>
      <w:r>
        <w:rPr>
          <w:rFonts w:ascii="Times New Roman" w:hAnsi="Times New Roman" w:cs="Times New Roman"/>
          <w:i/>
          <w:iCs/>
          <w:sz w:val="24"/>
          <w:szCs w:val="24"/>
        </w:rPr>
        <w:t>Journal of Clinical and Experimental Investigations</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(4), 474–478. https://doi.org/10.5799/ahinjs.01.2011.04.0100</w:t>
      </w:r>
    </w:p>
    <w:p>
      <w:pPr>
        <w:widowControl w:val="0"/>
        <w:autoSpaceDE w:val="0"/>
        <w:autoSpaceDN w:val="0"/>
        <w:adjustRightInd w:val="0"/>
        <w:spacing w:before="100" w:after="100" w:line="480" w:lineRule="auto"/>
        <w:ind w:left="480" w:hanging="480"/>
        <w:rPr>
          <w:rFonts w:ascii="Times New Roman" w:hAnsi="Times New Roman" w:cs="Times New Roman"/>
          <w:sz w:val="24"/>
          <w:szCs w:val="24"/>
        </w:rPr>
      </w:pPr>
      <w:r>
        <w:rPr>
          <w:rFonts w:ascii="Times New Roman" w:hAnsi="Times New Roman" w:cs="Times New Roman"/>
          <w:sz w:val="24"/>
          <w:szCs w:val="24"/>
        </w:rPr>
        <w:t xml:space="preserve">Zeb, A., Farhana, Jewewria, Marym, &amp; Nadra Bi Bi, U. (2019). Nurses Knowledge Regarding Post-operative Pain Management. </w:t>
      </w:r>
      <w:r>
        <w:rPr>
          <w:rFonts w:ascii="Times New Roman" w:hAnsi="Times New Roman" w:cs="Times New Roman"/>
          <w:i/>
          <w:iCs/>
          <w:sz w:val="24"/>
          <w:szCs w:val="24"/>
        </w:rPr>
        <w:t>Journal of Healthcare Communications</w:t>
      </w:r>
      <w:r>
        <w:rPr>
          <w:rFonts w:ascii="Times New Roman" w:hAnsi="Times New Roman" w:cs="Times New Roman"/>
          <w:sz w:val="24"/>
          <w:szCs w:val="24"/>
        </w:rPr>
        <w:t xml:space="preserve">, </w:t>
      </w:r>
      <w:r>
        <w:rPr>
          <w:rFonts w:ascii="Times New Roman" w:hAnsi="Times New Roman" w:cs="Times New Roman"/>
          <w:i/>
          <w:iCs/>
          <w:sz w:val="24"/>
          <w:szCs w:val="24"/>
        </w:rPr>
        <w:t>04</w:t>
      </w:r>
      <w:r>
        <w:rPr>
          <w:rFonts w:ascii="Times New Roman" w:hAnsi="Times New Roman" w:cs="Times New Roman"/>
          <w:sz w:val="24"/>
          <w:szCs w:val="24"/>
        </w:rPr>
        <w:t>(01), 4–7. https://doi.org/10.4172/2472-1654.100151</w:t>
      </w:r>
    </w:p>
    <w:p>
      <w:pPr>
        <w:pStyle w:val="3"/>
        <w:rPr>
          <w:rFonts w:ascii="Times New Roman" w:hAnsi="Times New Roman" w:cs="Times New Roman"/>
          <w:sz w:val="24"/>
          <w:szCs w:val="24"/>
        </w:rPr>
      </w:pPr>
      <w:r>
        <w:rPr>
          <w:rFonts w:ascii="Times New Roman" w:hAnsi="Times New Roman" w:cs="Times New Roman"/>
          <w:sz w:val="24"/>
          <w:szCs w:val="24"/>
        </w:rPr>
        <w:fldChar w:fldCharType="end"/>
      </w:r>
      <w:bookmarkStart w:id="255" w:name="_Toc142753438"/>
      <w:r>
        <w:rPr>
          <w:rFonts w:ascii="Times New Roman" w:hAnsi="Times New Roman" w:cs="Times New Roman"/>
          <w:sz w:val="24"/>
          <w:szCs w:val="24"/>
        </w:rPr>
        <w:t>APPENDICES</w:t>
      </w:r>
      <w:bookmarkEnd w:id="255"/>
    </w:p>
    <w:p>
      <w:pPr>
        <w:pStyle w:val="3"/>
        <w:rPr>
          <w:rFonts w:ascii="Times New Roman" w:hAnsi="Times New Roman" w:cs="Times New Roman"/>
          <w:b w:val="0"/>
          <w:sz w:val="24"/>
          <w:szCs w:val="24"/>
        </w:rPr>
      </w:pPr>
      <w:bookmarkStart w:id="256" w:name="_Toc134604197"/>
      <w:bookmarkStart w:id="257" w:name="_Toc142753439"/>
      <w:r>
        <w:rPr>
          <w:rFonts w:ascii="Times New Roman" w:hAnsi="Times New Roman" w:cs="Times New Roman"/>
          <w:sz w:val="24"/>
          <w:szCs w:val="24"/>
        </w:rPr>
        <w:t>Appendix A: Questionnaire</w:t>
      </w:r>
      <w:bookmarkEnd w:id="256"/>
      <w:bookmarkEnd w:id="257"/>
      <w:r>
        <w:rPr>
          <w:rFonts w:ascii="Times New Roman" w:hAnsi="Times New Roman" w:cs="Times New Roman"/>
          <w:sz w:val="24"/>
          <w:szCs w:val="24"/>
        </w:rPr>
        <w:t xml:space="preserve"> </w:t>
      </w:r>
    </w:p>
    <w:p>
      <w:pPr>
        <w:autoSpaceDE w:val="0"/>
        <w:autoSpaceDN w:val="0"/>
        <w:adjustRightInd w:val="0"/>
        <w:spacing w:line="360" w:lineRule="auto"/>
        <w:rPr>
          <w:rFonts w:ascii="Times New Roman" w:hAnsi="Times New Roman" w:eastAsia="MS Mincho" w:cs="Times New Roman"/>
          <w:sz w:val="24"/>
          <w:szCs w:val="24"/>
        </w:rPr>
      </w:pPr>
      <w:r>
        <w:rPr>
          <w:rFonts w:ascii="Times New Roman" w:hAnsi="Times New Roman" w:eastAsia="MS Mincho" w:cs="Times New Roman"/>
          <w:sz w:val="24"/>
          <w:szCs w:val="24"/>
        </w:rPr>
        <w:t xml:space="preserve">Questionnaire code     </w:t>
      </w:r>
      <w:r>
        <w:rPr>
          <w:rFonts w:ascii="Times New Roman" w:hAnsi="Times New Roman" w:eastAsia="MS Mincho" w:cs="Times New Roman"/>
          <w:sz w:val="24"/>
          <w:szCs w:val="24"/>
          <w:u w:val="single"/>
        </w:rPr>
        <w:t xml:space="preserve">                  </w:t>
      </w:r>
      <w:r>
        <w:rPr>
          <w:rFonts w:ascii="Times New Roman" w:hAnsi="Times New Roman" w:eastAsia="MS Mincho" w:cs="Times New Roman"/>
          <w:sz w:val="24"/>
          <w:szCs w:val="24"/>
        </w:rPr>
        <w:t xml:space="preserve"> Date of interview   __________</w:t>
      </w:r>
    </w:p>
    <w:p>
      <w:pPr>
        <w:autoSpaceDE w:val="0"/>
        <w:autoSpaceDN w:val="0"/>
        <w:adjustRightInd w:val="0"/>
        <w:spacing w:line="360" w:lineRule="auto"/>
        <w:rPr>
          <w:rFonts w:ascii="Times New Roman" w:hAnsi="Times New Roman" w:eastAsia="MS Mincho" w:cs="Times New Roman"/>
          <w:sz w:val="24"/>
          <w:szCs w:val="24"/>
        </w:rPr>
      </w:pPr>
      <w:r>
        <w:rPr>
          <w:rFonts w:ascii="Times New Roman" w:hAnsi="Times New Roman" w:eastAsia="MS Mincho" w:cs="Times New Roman"/>
          <w:sz w:val="24"/>
          <w:szCs w:val="24"/>
        </w:rPr>
        <w:t>The questionnaire is going to examine the nurse’s knowledge and attitude toward postoperative pain management using a pain assessment scale.  It consists of three parts: -</w:t>
      </w:r>
    </w:p>
    <w:p>
      <w:pPr>
        <w:autoSpaceDE w:val="0"/>
        <w:autoSpaceDN w:val="0"/>
        <w:adjustRightInd w:val="0"/>
        <w:spacing w:line="360" w:lineRule="auto"/>
        <w:rPr>
          <w:rFonts w:ascii="Times New Roman" w:hAnsi="Times New Roman" w:eastAsia="MS Mincho" w:cs="Times New Roman"/>
          <w:sz w:val="24"/>
          <w:szCs w:val="24"/>
        </w:rPr>
      </w:pPr>
      <w:r>
        <w:rPr>
          <w:rFonts w:ascii="Times New Roman" w:hAnsi="Times New Roman" w:eastAsia="MS Mincho" w:cs="Times New Roman"/>
          <w:sz w:val="24"/>
          <w:szCs w:val="24"/>
        </w:rPr>
        <w:t>Part 1 consists of demographic data.</w:t>
      </w:r>
    </w:p>
    <w:p>
      <w:pPr>
        <w:autoSpaceDE w:val="0"/>
        <w:autoSpaceDN w:val="0"/>
        <w:adjustRightInd w:val="0"/>
        <w:spacing w:line="360" w:lineRule="auto"/>
        <w:rPr>
          <w:rFonts w:ascii="Times New Roman" w:hAnsi="Times New Roman" w:eastAsia="MS Mincho" w:cs="Times New Roman"/>
          <w:sz w:val="24"/>
          <w:szCs w:val="24"/>
        </w:rPr>
      </w:pPr>
      <w:r>
        <w:rPr>
          <w:rFonts w:ascii="Times New Roman" w:hAnsi="Times New Roman" w:eastAsia="MS Mincho" w:cs="Times New Roman"/>
          <w:sz w:val="24"/>
          <w:szCs w:val="24"/>
        </w:rPr>
        <w:t xml:space="preserve">Part 11 focuses on the knowledge questions. </w:t>
      </w:r>
    </w:p>
    <w:p>
      <w:pPr>
        <w:autoSpaceDE w:val="0"/>
        <w:autoSpaceDN w:val="0"/>
        <w:adjustRightInd w:val="0"/>
        <w:spacing w:line="360" w:lineRule="auto"/>
        <w:rPr>
          <w:rFonts w:ascii="Times New Roman" w:hAnsi="Times New Roman" w:eastAsia="MS Mincho" w:cs="Times New Roman"/>
          <w:sz w:val="24"/>
          <w:szCs w:val="24"/>
        </w:rPr>
      </w:pPr>
      <w:r>
        <w:rPr>
          <w:rFonts w:ascii="Times New Roman" w:hAnsi="Times New Roman" w:eastAsia="MS Mincho" w:cs="Times New Roman"/>
          <w:sz w:val="24"/>
          <w:szCs w:val="24"/>
        </w:rPr>
        <w:t xml:space="preserve">Part 111 consists of questions to determine the attitude. </w:t>
      </w:r>
    </w:p>
    <w:p>
      <w:pPr>
        <w:autoSpaceDE w:val="0"/>
        <w:autoSpaceDN w:val="0"/>
        <w:adjustRightInd w:val="0"/>
        <w:spacing w:line="360" w:lineRule="auto"/>
        <w:rPr>
          <w:rFonts w:ascii="Times New Roman" w:hAnsi="Times New Roman" w:eastAsia="MS Mincho" w:cs="Times New Roman"/>
          <w:b/>
          <w:sz w:val="24"/>
          <w:szCs w:val="24"/>
        </w:rPr>
      </w:pPr>
      <w:r>
        <w:rPr>
          <w:rFonts w:ascii="Times New Roman" w:hAnsi="Times New Roman" w:eastAsia="MS Mincho" w:cs="Times New Roman"/>
          <w:b/>
          <w:sz w:val="24"/>
          <w:szCs w:val="24"/>
        </w:rPr>
        <w:t>Part 1: Demographic characteristics</w:t>
      </w:r>
    </w:p>
    <w:p>
      <w:pPr>
        <w:pStyle w:val="24"/>
        <w:numPr>
          <w:ilvl w:val="0"/>
          <w:numId w:val="13"/>
        </w:numPr>
        <w:autoSpaceDE w:val="0"/>
        <w:autoSpaceDN w:val="0"/>
        <w:adjustRightInd w:val="0"/>
        <w:spacing w:line="360" w:lineRule="auto"/>
        <w:ind w:left="360"/>
      </w:pPr>
      <w:r>
        <w:t xml:space="preserve">Age in years   ----------- </w:t>
      </w:r>
    </w:p>
    <w:p>
      <w:pPr>
        <w:pStyle w:val="24"/>
        <w:autoSpaceDE w:val="0"/>
        <w:autoSpaceDN w:val="0"/>
        <w:adjustRightInd w:val="0"/>
        <w:spacing w:line="360" w:lineRule="auto"/>
        <w:ind w:left="360"/>
      </w:pPr>
    </w:p>
    <w:p>
      <w:pPr>
        <w:pStyle w:val="24"/>
        <w:numPr>
          <w:ilvl w:val="0"/>
          <w:numId w:val="13"/>
        </w:numPr>
        <w:autoSpaceDE w:val="0"/>
        <w:autoSpaceDN w:val="0"/>
        <w:adjustRightInd w:val="0"/>
        <w:spacing w:line="360" w:lineRule="auto"/>
        <w:ind w:left="360"/>
      </w:pPr>
      <w:r>
        <w:t>Sex:     Male:  ---------- Female ……….</w:t>
      </w:r>
    </w:p>
    <w:p>
      <w:pPr>
        <w:pStyle w:val="24"/>
        <w:autoSpaceDE w:val="0"/>
        <w:autoSpaceDN w:val="0"/>
        <w:adjustRightInd w:val="0"/>
        <w:spacing w:line="360" w:lineRule="auto"/>
        <w:ind w:left="360"/>
      </w:pPr>
    </w:p>
    <w:p>
      <w:pPr>
        <w:pStyle w:val="24"/>
        <w:numPr>
          <w:ilvl w:val="0"/>
          <w:numId w:val="13"/>
        </w:numPr>
        <w:autoSpaceDE w:val="0"/>
        <w:autoSpaceDN w:val="0"/>
        <w:adjustRightInd w:val="0"/>
        <w:spacing w:line="360" w:lineRule="auto"/>
        <w:ind w:left="360"/>
      </w:pPr>
      <w:r>
        <w:t xml:space="preserve">Qualification </w:t>
      </w:r>
    </w:p>
    <w:p>
      <w:pPr>
        <w:pStyle w:val="24"/>
        <w:numPr>
          <w:ilvl w:val="1"/>
          <w:numId w:val="13"/>
        </w:numPr>
        <w:autoSpaceDE w:val="0"/>
        <w:autoSpaceDN w:val="0"/>
        <w:adjustRightInd w:val="0"/>
        <w:spacing w:line="360" w:lineRule="auto"/>
      </w:pPr>
      <w:r>
        <w:t xml:space="preserve">Certificate </w:t>
      </w:r>
    </w:p>
    <w:p>
      <w:pPr>
        <w:pStyle w:val="24"/>
        <w:numPr>
          <w:ilvl w:val="1"/>
          <w:numId w:val="13"/>
        </w:numPr>
        <w:autoSpaceDE w:val="0"/>
        <w:autoSpaceDN w:val="0"/>
        <w:adjustRightInd w:val="0"/>
        <w:spacing w:line="360" w:lineRule="auto"/>
      </w:pPr>
      <w:r>
        <w:t xml:space="preserve">Diploma </w:t>
      </w:r>
    </w:p>
    <w:p>
      <w:pPr>
        <w:pStyle w:val="24"/>
        <w:numPr>
          <w:ilvl w:val="1"/>
          <w:numId w:val="13"/>
        </w:numPr>
        <w:autoSpaceDE w:val="0"/>
        <w:autoSpaceDN w:val="0"/>
        <w:adjustRightInd w:val="0"/>
        <w:spacing w:line="360" w:lineRule="auto"/>
      </w:pPr>
      <w:r>
        <w:t xml:space="preserve">Degree </w:t>
      </w:r>
    </w:p>
    <w:p>
      <w:pPr>
        <w:pStyle w:val="24"/>
        <w:numPr>
          <w:ilvl w:val="1"/>
          <w:numId w:val="13"/>
        </w:numPr>
        <w:autoSpaceDE w:val="0"/>
        <w:autoSpaceDN w:val="0"/>
        <w:adjustRightInd w:val="0"/>
        <w:spacing w:line="360" w:lineRule="auto"/>
      </w:pPr>
      <w:r>
        <w:t>Masters</w:t>
      </w:r>
    </w:p>
    <w:p>
      <w:pPr>
        <w:pStyle w:val="24"/>
        <w:numPr>
          <w:ilvl w:val="1"/>
          <w:numId w:val="13"/>
        </w:numPr>
        <w:autoSpaceDE w:val="0"/>
        <w:autoSpaceDN w:val="0"/>
        <w:adjustRightInd w:val="0"/>
        <w:spacing w:line="360" w:lineRule="auto"/>
      </w:pPr>
      <w:r>
        <w:t>Others (please indicate …………………….</w:t>
      </w:r>
    </w:p>
    <w:p>
      <w:pPr>
        <w:pStyle w:val="24"/>
        <w:autoSpaceDE w:val="0"/>
        <w:autoSpaceDN w:val="0"/>
        <w:adjustRightInd w:val="0"/>
        <w:spacing w:line="360" w:lineRule="auto"/>
        <w:ind w:left="2160"/>
      </w:pPr>
    </w:p>
    <w:p>
      <w:pPr>
        <w:pStyle w:val="24"/>
        <w:numPr>
          <w:ilvl w:val="0"/>
          <w:numId w:val="13"/>
        </w:numPr>
        <w:autoSpaceDE w:val="0"/>
        <w:autoSpaceDN w:val="0"/>
        <w:adjustRightInd w:val="0"/>
        <w:spacing w:line="360" w:lineRule="auto"/>
        <w:ind w:left="360"/>
      </w:pPr>
      <w:r>
        <w:t>Working experience in years………………….</w:t>
      </w:r>
    </w:p>
    <w:p>
      <w:pPr>
        <w:pStyle w:val="24"/>
        <w:autoSpaceDE w:val="0"/>
        <w:autoSpaceDN w:val="0"/>
        <w:adjustRightInd w:val="0"/>
        <w:spacing w:line="360" w:lineRule="auto"/>
        <w:ind w:left="360"/>
      </w:pPr>
    </w:p>
    <w:p>
      <w:pPr>
        <w:pStyle w:val="24"/>
        <w:numPr>
          <w:ilvl w:val="0"/>
          <w:numId w:val="13"/>
        </w:numPr>
        <w:autoSpaceDE w:val="0"/>
        <w:autoSpaceDN w:val="0"/>
        <w:adjustRightInd w:val="0"/>
        <w:spacing w:line="360" w:lineRule="auto"/>
        <w:ind w:left="360"/>
      </w:pPr>
      <w:r>
        <w:t>Working experience on the surgical ward: ……………………</w:t>
      </w:r>
    </w:p>
    <w:p>
      <w:pPr>
        <w:pStyle w:val="24"/>
        <w:numPr>
          <w:ilvl w:val="0"/>
          <w:numId w:val="13"/>
        </w:numPr>
        <w:autoSpaceDE w:val="0"/>
        <w:autoSpaceDN w:val="0"/>
        <w:adjustRightInd w:val="0"/>
        <w:spacing w:line="360" w:lineRule="auto"/>
        <w:ind w:left="360"/>
      </w:pPr>
      <w:r>
        <w:t xml:space="preserve">Orientation to pain management: </w:t>
      </w:r>
    </w:p>
    <w:p>
      <w:pPr>
        <w:pStyle w:val="24"/>
        <w:numPr>
          <w:ilvl w:val="0"/>
          <w:numId w:val="14"/>
        </w:numPr>
        <w:autoSpaceDE w:val="0"/>
        <w:autoSpaceDN w:val="0"/>
        <w:adjustRightInd w:val="0"/>
        <w:spacing w:line="360" w:lineRule="auto"/>
        <w:ind w:left="1080"/>
      </w:pPr>
      <w:r>
        <w:t>CPD</w:t>
      </w:r>
    </w:p>
    <w:p>
      <w:pPr>
        <w:pStyle w:val="24"/>
        <w:numPr>
          <w:ilvl w:val="0"/>
          <w:numId w:val="14"/>
        </w:numPr>
        <w:autoSpaceDE w:val="0"/>
        <w:autoSpaceDN w:val="0"/>
        <w:adjustRightInd w:val="0"/>
        <w:spacing w:line="360" w:lineRule="auto"/>
        <w:ind w:left="1080"/>
      </w:pPr>
      <w:r>
        <w:t>CNE</w:t>
      </w:r>
    </w:p>
    <w:p>
      <w:pPr>
        <w:pStyle w:val="24"/>
        <w:numPr>
          <w:ilvl w:val="0"/>
          <w:numId w:val="14"/>
        </w:numPr>
        <w:autoSpaceDE w:val="0"/>
        <w:autoSpaceDN w:val="0"/>
        <w:adjustRightInd w:val="0"/>
        <w:spacing w:line="360" w:lineRule="auto"/>
        <w:ind w:left="1080"/>
      </w:pPr>
      <w:r>
        <w:t>Others………………………………………….</w:t>
      </w: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r>
        <w:rPr>
          <w:rFonts w:ascii="Times New Roman" w:hAnsi="Times New Roman" w:eastAsia="MS Mincho" w:cs="Times New Roman"/>
          <w:b/>
          <w:bCs/>
          <w:sz w:val="24"/>
          <w:szCs w:val="24"/>
        </w:rPr>
        <w:t xml:space="preserve">Part II: Nurse’s Knowledge on post-operative pain assessment </w:t>
      </w:r>
    </w:p>
    <w:p>
      <w:pPr>
        <w:spacing w:line="360" w:lineRule="auto"/>
        <w:rPr>
          <w:rFonts w:ascii="Times New Roman" w:hAnsi="Times New Roman" w:eastAsia="MS Mincho" w:cs="Times New Roman"/>
          <w:b/>
          <w:bCs/>
          <w:sz w:val="24"/>
          <w:szCs w:val="24"/>
        </w:rPr>
      </w:pPr>
      <w:r>
        <w:rPr>
          <w:rFonts w:ascii="Times New Roman" w:hAnsi="Times New Roman" w:eastAsia="MS Mincho" w:cs="Times New Roman"/>
          <w:b/>
          <w:bCs/>
          <w:sz w:val="24"/>
          <w:szCs w:val="24"/>
        </w:rPr>
        <w:t xml:space="preserve">Please tick the correct response </w:t>
      </w:r>
    </w:p>
    <w:tbl>
      <w:tblPr>
        <w:tblStyle w:val="19"/>
        <w:tblW w:w="8896" w:type="dxa"/>
        <w:tblInd w:w="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20"/>
        <w:gridCol w:w="990"/>
        <w:gridCol w:w="8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7020" w:type="dxa"/>
          </w:tcPr>
          <w:p>
            <w:pPr>
              <w:autoSpaceDE w:val="0"/>
              <w:autoSpaceDN w:val="0"/>
              <w:adjustRightInd w:val="0"/>
              <w:spacing w:after="0" w:line="360" w:lineRule="auto"/>
              <w:jc w:val="center"/>
              <w:rPr>
                <w:rFonts w:ascii="Times New Roman" w:hAnsi="Times New Roman" w:eastAsia="MS Mincho" w:cs="Times New Roman"/>
                <w:b/>
                <w:sz w:val="20"/>
                <w:szCs w:val="20"/>
              </w:rPr>
            </w:pPr>
            <w:r>
              <w:rPr>
                <w:rFonts w:ascii="Times New Roman" w:hAnsi="Times New Roman" w:eastAsia="MS Mincho" w:cs="Times New Roman"/>
                <w:b/>
                <w:sz w:val="20"/>
                <w:szCs w:val="20"/>
              </w:rPr>
              <w:t>Variable</w:t>
            </w:r>
          </w:p>
        </w:tc>
        <w:tc>
          <w:tcPr>
            <w:tcW w:w="990" w:type="dxa"/>
          </w:tcPr>
          <w:p>
            <w:pPr>
              <w:autoSpaceDE w:val="0"/>
              <w:autoSpaceDN w:val="0"/>
              <w:adjustRightInd w:val="0"/>
              <w:spacing w:after="0" w:line="360" w:lineRule="auto"/>
              <w:jc w:val="center"/>
              <w:rPr>
                <w:rFonts w:ascii="Times New Roman" w:hAnsi="Times New Roman" w:eastAsia="MS Mincho" w:cs="Times New Roman"/>
                <w:b/>
                <w:sz w:val="20"/>
                <w:szCs w:val="20"/>
              </w:rPr>
            </w:pPr>
            <w:r>
              <w:rPr>
                <w:rFonts w:ascii="Times New Roman" w:hAnsi="Times New Roman" w:eastAsia="MS Mincho" w:cs="Times New Roman"/>
                <w:b/>
                <w:sz w:val="20"/>
                <w:szCs w:val="20"/>
              </w:rPr>
              <w:t>Yes (2)</w:t>
            </w:r>
          </w:p>
        </w:tc>
        <w:tc>
          <w:tcPr>
            <w:tcW w:w="886" w:type="dxa"/>
          </w:tcPr>
          <w:p>
            <w:pPr>
              <w:autoSpaceDE w:val="0"/>
              <w:autoSpaceDN w:val="0"/>
              <w:adjustRightInd w:val="0"/>
              <w:spacing w:after="0" w:line="360" w:lineRule="auto"/>
              <w:jc w:val="center"/>
              <w:rPr>
                <w:rFonts w:ascii="Times New Roman" w:hAnsi="Times New Roman" w:eastAsia="MS Mincho" w:cs="Times New Roman"/>
                <w:b/>
                <w:sz w:val="20"/>
                <w:szCs w:val="20"/>
              </w:rPr>
            </w:pPr>
            <w:r>
              <w:rPr>
                <w:rFonts w:ascii="Times New Roman" w:hAnsi="Times New Roman" w:eastAsia="MS Mincho" w:cs="Times New Roman"/>
                <w:b/>
                <w:sz w:val="20"/>
                <w:szCs w:val="20"/>
              </w:rPr>
              <w:t>No (0)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trPr>
        <w:tc>
          <w:tcPr>
            <w:tcW w:w="7020" w:type="dxa"/>
          </w:tcPr>
          <w:p>
            <w:pPr>
              <w:pStyle w:val="24"/>
              <w:numPr>
                <w:ilvl w:val="0"/>
                <w:numId w:val="15"/>
              </w:numPr>
              <w:autoSpaceDE w:val="0"/>
              <w:autoSpaceDN w:val="0"/>
              <w:adjustRightInd w:val="0"/>
              <w:spacing w:line="360" w:lineRule="auto"/>
              <w:rPr>
                <w:sz w:val="20"/>
                <w:szCs w:val="20"/>
              </w:rPr>
            </w:pPr>
            <w:r>
              <w:rPr>
                <w:sz w:val="20"/>
                <w:szCs w:val="20"/>
                <w:shd w:val="clear" w:color="auto" w:fill="FFFFFF"/>
              </w:rPr>
              <w:t>Pain should be assessed before and after administering pain drugs.</w:t>
            </w:r>
            <w:r>
              <w:rPr>
                <w:sz w:val="20"/>
                <w:szCs w:val="20"/>
              </w:rPr>
              <w:t xml:space="preserve"> </w:t>
            </w:r>
          </w:p>
        </w:tc>
        <w:tc>
          <w:tcPr>
            <w:tcW w:w="990" w:type="dxa"/>
          </w:tcPr>
          <w:p>
            <w:pPr>
              <w:autoSpaceDE w:val="0"/>
              <w:autoSpaceDN w:val="0"/>
              <w:adjustRightInd w:val="0"/>
              <w:spacing w:after="0" w:line="360" w:lineRule="auto"/>
              <w:rPr>
                <w:rFonts w:ascii="Times New Roman" w:hAnsi="Times New Roman" w:cs="Times New Roman"/>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7020" w:type="dxa"/>
          </w:tcPr>
          <w:p>
            <w:pPr>
              <w:pStyle w:val="24"/>
              <w:numPr>
                <w:ilvl w:val="0"/>
                <w:numId w:val="15"/>
              </w:numPr>
              <w:autoSpaceDE w:val="0"/>
              <w:autoSpaceDN w:val="0"/>
              <w:adjustRightInd w:val="0"/>
              <w:spacing w:line="360" w:lineRule="auto"/>
              <w:rPr>
                <w:sz w:val="20"/>
                <w:szCs w:val="20"/>
              </w:rPr>
            </w:pPr>
            <w:r>
              <w:rPr>
                <w:sz w:val="20"/>
                <w:szCs w:val="20"/>
                <w:shd w:val="clear" w:color="auto" w:fill="FFFFFF"/>
              </w:rPr>
              <w:t xml:space="preserve">Vital signs are always reliable indicators of the intensity of a patient’s pain </w:t>
            </w:r>
          </w:p>
        </w:tc>
        <w:tc>
          <w:tcPr>
            <w:tcW w:w="990" w:type="dxa"/>
          </w:tcPr>
          <w:p>
            <w:pPr>
              <w:autoSpaceDE w:val="0"/>
              <w:autoSpaceDN w:val="0"/>
              <w:adjustRightInd w:val="0"/>
              <w:spacing w:after="0" w:line="360" w:lineRule="auto"/>
              <w:rPr>
                <w:rFonts w:ascii="Times New Roman" w:hAnsi="Times New Roman" w:cs="Times New Roman"/>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7020" w:type="dxa"/>
          </w:tcPr>
          <w:p>
            <w:pPr>
              <w:pStyle w:val="24"/>
              <w:numPr>
                <w:ilvl w:val="0"/>
                <w:numId w:val="15"/>
              </w:numPr>
              <w:autoSpaceDE w:val="0"/>
              <w:autoSpaceDN w:val="0"/>
              <w:adjustRightInd w:val="0"/>
              <w:spacing w:line="360" w:lineRule="auto"/>
              <w:rPr>
                <w:sz w:val="20"/>
                <w:szCs w:val="20"/>
              </w:rPr>
            </w:pPr>
            <w:r>
              <w:rPr>
                <w:sz w:val="20"/>
                <w:szCs w:val="20"/>
                <w:shd w:val="clear" w:color="auto" w:fill="FFFFFF"/>
              </w:rPr>
              <w:t xml:space="preserve">Patients who can be distracted from pain usually do not have severe pain </w:t>
            </w:r>
            <w:r>
              <w:rPr>
                <w:sz w:val="20"/>
                <w:szCs w:val="20"/>
              </w:rPr>
              <w:t xml:space="preserve"> </w:t>
            </w:r>
          </w:p>
        </w:tc>
        <w:tc>
          <w:tcPr>
            <w:tcW w:w="990" w:type="dxa"/>
          </w:tcPr>
          <w:p>
            <w:pPr>
              <w:autoSpaceDE w:val="0"/>
              <w:autoSpaceDN w:val="0"/>
              <w:adjustRightInd w:val="0"/>
              <w:spacing w:after="0" w:line="360" w:lineRule="auto"/>
              <w:rPr>
                <w:rFonts w:ascii="Times New Roman" w:hAnsi="Times New Roman" w:cs="Times New Roman"/>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sz w:val="20"/>
                <w:szCs w:val="20"/>
              </w:rPr>
            </w:pPr>
            <w:r>
              <w:rPr>
                <w:sz w:val="20"/>
                <w:szCs w:val="20"/>
              </w:rPr>
              <w:t xml:space="preserve">On a scale of 0-10, seven is unmanageable  </w:t>
            </w:r>
          </w:p>
        </w:tc>
        <w:tc>
          <w:tcPr>
            <w:tcW w:w="990" w:type="dxa"/>
          </w:tcPr>
          <w:p>
            <w:pPr>
              <w:autoSpaceDE w:val="0"/>
              <w:autoSpaceDN w:val="0"/>
              <w:adjustRightInd w:val="0"/>
              <w:spacing w:after="0" w:line="360" w:lineRule="auto"/>
              <w:rPr>
                <w:rFonts w:ascii="Times New Roman" w:hAnsi="Times New Roman" w:eastAsia="MS Mincho" w:cs="Times New Roman"/>
                <w:sz w:val="20"/>
                <w:szCs w:val="20"/>
                <w:lang w:eastAsia="ja-JP"/>
              </w:rPr>
            </w:pPr>
          </w:p>
        </w:tc>
        <w:tc>
          <w:tcPr>
            <w:tcW w:w="886" w:type="dxa"/>
          </w:tcPr>
          <w:p>
            <w:pPr>
              <w:autoSpaceDE w:val="0"/>
              <w:autoSpaceDN w:val="0"/>
              <w:adjustRightInd w:val="0"/>
              <w:spacing w:after="0" w:line="360" w:lineRule="auto"/>
              <w:rPr>
                <w:rFonts w:ascii="Times New Roman" w:hAnsi="Times New Roman" w:eastAsia="MS Mincho" w:cs="Times New Roman"/>
                <w:sz w:val="20"/>
                <w:szCs w:val="20"/>
                <w:lang w:eastAsia="ja-JP"/>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7020" w:type="dxa"/>
          </w:tcPr>
          <w:p>
            <w:pPr>
              <w:pStyle w:val="24"/>
              <w:numPr>
                <w:ilvl w:val="0"/>
                <w:numId w:val="15"/>
              </w:numPr>
              <w:autoSpaceDE w:val="0"/>
              <w:autoSpaceDN w:val="0"/>
              <w:adjustRightInd w:val="0"/>
              <w:spacing w:line="360" w:lineRule="auto"/>
              <w:rPr>
                <w:sz w:val="20"/>
                <w:szCs w:val="20"/>
              </w:rPr>
            </w:pPr>
            <w:r>
              <w:rPr>
                <w:sz w:val="20"/>
                <w:szCs w:val="20"/>
                <w:shd w:val="clear" w:color="auto" w:fill="FFFFFF"/>
              </w:rPr>
              <w:t>After an initial dose of opioid analgesic is given, subsequent doses should be adjusted in accordance with individual patient’s response</w:t>
            </w:r>
          </w:p>
        </w:tc>
        <w:tc>
          <w:tcPr>
            <w:tcW w:w="990" w:type="dxa"/>
          </w:tcPr>
          <w:p>
            <w:pPr>
              <w:autoSpaceDE w:val="0"/>
              <w:autoSpaceDN w:val="0"/>
              <w:adjustRightInd w:val="0"/>
              <w:spacing w:after="0" w:line="360" w:lineRule="auto"/>
              <w:rPr>
                <w:rFonts w:ascii="Times New Roman" w:hAnsi="Times New Roman" w:cs="Times New Roman"/>
                <w:b/>
                <w:bCs/>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b/>
                <w:bCs/>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sz w:val="20"/>
                <w:szCs w:val="20"/>
              </w:rPr>
            </w:pPr>
            <w:r>
              <w:rPr>
                <w:sz w:val="20"/>
                <w:szCs w:val="20"/>
              </w:rPr>
              <w:t xml:space="preserve">Physical assessment is part of pain management.                                    </w:t>
            </w:r>
          </w:p>
        </w:tc>
        <w:tc>
          <w:tcPr>
            <w:tcW w:w="990" w:type="dxa"/>
          </w:tcPr>
          <w:p>
            <w:pPr>
              <w:autoSpaceDE w:val="0"/>
              <w:autoSpaceDN w:val="0"/>
              <w:adjustRightInd w:val="0"/>
              <w:spacing w:after="0" w:line="360" w:lineRule="auto"/>
              <w:rPr>
                <w:rFonts w:ascii="Times New Roman" w:hAnsi="Times New Roman" w:eastAsia="MS Mincho" w:cs="Times New Roman"/>
                <w:sz w:val="20"/>
                <w:szCs w:val="20"/>
                <w:lang w:eastAsia="ja-JP"/>
              </w:rPr>
            </w:pPr>
          </w:p>
        </w:tc>
        <w:tc>
          <w:tcPr>
            <w:tcW w:w="886" w:type="dxa"/>
          </w:tcPr>
          <w:p>
            <w:pPr>
              <w:autoSpaceDE w:val="0"/>
              <w:autoSpaceDN w:val="0"/>
              <w:adjustRightInd w:val="0"/>
              <w:spacing w:after="0" w:line="360" w:lineRule="auto"/>
              <w:rPr>
                <w:rFonts w:ascii="Times New Roman" w:hAnsi="Times New Roman" w:eastAsia="MS Mincho" w:cs="Times New Roman"/>
                <w:sz w:val="20"/>
                <w:szCs w:val="20"/>
                <w:lang w:eastAsia="ja-JP"/>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7020" w:type="dxa"/>
          </w:tcPr>
          <w:p>
            <w:pPr>
              <w:pStyle w:val="24"/>
              <w:numPr>
                <w:ilvl w:val="0"/>
                <w:numId w:val="15"/>
              </w:numPr>
              <w:spacing w:line="360" w:lineRule="auto"/>
              <w:rPr>
                <w:rFonts w:eastAsia="Times New Roman"/>
                <w:color w:val="000000"/>
                <w:sz w:val="20"/>
                <w:szCs w:val="20"/>
              </w:rPr>
            </w:pPr>
            <w:r>
              <w:rPr>
                <w:rFonts w:eastAsia="Times New Roman"/>
                <w:color w:val="000000"/>
                <w:sz w:val="20"/>
                <w:szCs w:val="20"/>
              </w:rPr>
              <w:t xml:space="preserve">The most accurate judge of the intensity of the patient’s pain is the primary nurse </w:t>
            </w:r>
          </w:p>
        </w:tc>
        <w:tc>
          <w:tcPr>
            <w:tcW w:w="990" w:type="dxa"/>
          </w:tcPr>
          <w:p>
            <w:pPr>
              <w:spacing w:after="0" w:line="360" w:lineRule="auto"/>
              <w:rPr>
                <w:rFonts w:ascii="Times New Roman" w:hAnsi="Times New Roman" w:eastAsia="Times New Roman" w:cs="Times New Roman"/>
                <w:color w:val="000000"/>
                <w:sz w:val="20"/>
                <w:szCs w:val="20"/>
              </w:rPr>
            </w:pPr>
          </w:p>
        </w:tc>
        <w:tc>
          <w:tcPr>
            <w:tcW w:w="886" w:type="dxa"/>
          </w:tcPr>
          <w:p>
            <w:pPr>
              <w:spacing w:after="0" w:line="360" w:lineRule="auto"/>
              <w:rPr>
                <w:rFonts w:ascii="Times New Roman" w:hAnsi="Times New Roman" w:eastAsia="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7020" w:type="dxa"/>
          </w:tcPr>
          <w:p>
            <w:pPr>
              <w:pStyle w:val="24"/>
              <w:numPr>
                <w:ilvl w:val="0"/>
                <w:numId w:val="15"/>
              </w:numPr>
              <w:shd w:val="clear" w:color="auto" w:fill="FFFFFF"/>
              <w:spacing w:after="150" w:line="360" w:lineRule="auto"/>
              <w:outlineLvl w:val="2"/>
              <w:rPr>
                <w:sz w:val="20"/>
                <w:szCs w:val="20"/>
              </w:rPr>
            </w:pPr>
            <w:bookmarkStart w:id="258" w:name="_Toc120852278"/>
            <w:bookmarkStart w:id="259" w:name="_Toc142753440"/>
            <w:bookmarkStart w:id="260" w:name="_Toc134604198"/>
            <w:r>
              <w:rPr>
                <w:sz w:val="20"/>
                <w:szCs w:val="20"/>
              </w:rPr>
              <w:t>Is the character, onset, location, and duration of pain important in pain assessment?</w:t>
            </w:r>
            <w:bookmarkEnd w:id="258"/>
            <w:bookmarkEnd w:id="259"/>
            <w:bookmarkEnd w:id="260"/>
            <w:r>
              <w:rPr>
                <w:sz w:val="20"/>
                <w:szCs w:val="20"/>
              </w:rPr>
              <w:t xml:space="preserve"> </w:t>
            </w:r>
          </w:p>
        </w:tc>
        <w:tc>
          <w:tcPr>
            <w:tcW w:w="990" w:type="dxa"/>
          </w:tcPr>
          <w:p>
            <w:pPr>
              <w:shd w:val="clear" w:color="auto" w:fill="FFFFFF"/>
              <w:spacing w:after="150" w:line="360" w:lineRule="auto"/>
              <w:outlineLvl w:val="2"/>
              <w:rPr>
                <w:rFonts w:ascii="Times New Roman" w:hAnsi="Times New Roman" w:eastAsia="Times New Roman" w:cs="Times New Roman"/>
                <w:sz w:val="20"/>
                <w:szCs w:val="20"/>
              </w:rPr>
            </w:pPr>
          </w:p>
        </w:tc>
        <w:tc>
          <w:tcPr>
            <w:tcW w:w="886" w:type="dxa"/>
          </w:tcPr>
          <w:p>
            <w:pPr>
              <w:shd w:val="clear" w:color="auto" w:fill="FFFFFF"/>
              <w:spacing w:after="150" w:line="360" w:lineRule="auto"/>
              <w:outlineLvl w:val="2"/>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sz w:val="20"/>
                <w:szCs w:val="20"/>
              </w:rPr>
            </w:pPr>
            <w:r>
              <w:rPr>
                <w:sz w:val="20"/>
                <w:szCs w:val="20"/>
                <w:shd w:val="clear" w:color="auto" w:fill="FFFFFF"/>
              </w:rPr>
              <w:t>Observation is part of the method used in surgical pain assessment.</w:t>
            </w:r>
            <w:r>
              <w:rPr>
                <w:sz w:val="20"/>
                <w:szCs w:val="20"/>
              </w:rPr>
              <w:t xml:space="preserve"> </w:t>
            </w:r>
          </w:p>
        </w:tc>
        <w:tc>
          <w:tcPr>
            <w:tcW w:w="990" w:type="dxa"/>
          </w:tcPr>
          <w:p>
            <w:pPr>
              <w:autoSpaceDE w:val="0"/>
              <w:autoSpaceDN w:val="0"/>
              <w:adjustRightInd w:val="0"/>
              <w:spacing w:after="0" w:line="360" w:lineRule="auto"/>
              <w:rPr>
                <w:rFonts w:ascii="Times New Roman" w:hAnsi="Times New Roman" w:cs="Times New Roman"/>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7020" w:type="dxa"/>
          </w:tcPr>
          <w:p>
            <w:pPr>
              <w:pStyle w:val="24"/>
              <w:numPr>
                <w:ilvl w:val="0"/>
                <w:numId w:val="15"/>
              </w:numPr>
              <w:shd w:val="clear" w:color="auto" w:fill="FFFFFF"/>
              <w:spacing w:after="150" w:line="360" w:lineRule="auto"/>
              <w:outlineLvl w:val="2"/>
              <w:rPr>
                <w:sz w:val="20"/>
                <w:szCs w:val="20"/>
                <w:shd w:val="clear" w:color="auto" w:fill="FFFFFF"/>
              </w:rPr>
            </w:pPr>
            <w:bookmarkStart w:id="261" w:name="_Toc120852279"/>
            <w:bookmarkStart w:id="262" w:name="_Toc142753441"/>
            <w:bookmarkStart w:id="263" w:name="_Toc134604199"/>
            <w:r>
              <w:rPr>
                <w:sz w:val="20"/>
                <w:szCs w:val="20"/>
              </w:rPr>
              <w:t>On a scale of 0-10, six denote severe pain</w:t>
            </w:r>
            <w:bookmarkEnd w:id="261"/>
            <w:bookmarkEnd w:id="262"/>
            <w:bookmarkEnd w:id="263"/>
          </w:p>
        </w:tc>
        <w:tc>
          <w:tcPr>
            <w:tcW w:w="990" w:type="dxa"/>
          </w:tcPr>
          <w:p>
            <w:pPr>
              <w:shd w:val="clear" w:color="auto" w:fill="FFFFFF"/>
              <w:spacing w:after="150" w:line="360" w:lineRule="auto"/>
              <w:outlineLvl w:val="2"/>
              <w:rPr>
                <w:rFonts w:ascii="Times New Roman" w:hAnsi="Times New Roman" w:cs="Times New Roman"/>
                <w:sz w:val="20"/>
                <w:szCs w:val="20"/>
                <w:shd w:val="clear" w:color="auto" w:fill="FFFFFF"/>
              </w:rPr>
            </w:pPr>
          </w:p>
        </w:tc>
        <w:tc>
          <w:tcPr>
            <w:tcW w:w="886" w:type="dxa"/>
          </w:tcPr>
          <w:p>
            <w:pPr>
              <w:shd w:val="clear" w:color="auto" w:fill="FFFFFF"/>
              <w:spacing w:after="150" w:line="360" w:lineRule="auto"/>
              <w:outlineLvl w:val="2"/>
              <w:rPr>
                <w:rFonts w:ascii="Times New Roman" w:hAnsi="Times New Roman" w:cs="Times New Roman"/>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7020" w:type="dxa"/>
          </w:tcPr>
          <w:p>
            <w:pPr>
              <w:pStyle w:val="24"/>
              <w:numPr>
                <w:ilvl w:val="0"/>
                <w:numId w:val="15"/>
              </w:numPr>
              <w:shd w:val="clear" w:color="auto" w:fill="FFFFFF"/>
              <w:spacing w:after="150" w:line="360" w:lineRule="auto"/>
              <w:outlineLvl w:val="2"/>
              <w:rPr>
                <w:rFonts w:eastAsia="Times New Roman"/>
                <w:color w:val="555555"/>
                <w:sz w:val="20"/>
                <w:szCs w:val="20"/>
              </w:rPr>
            </w:pPr>
            <w:bookmarkStart w:id="264" w:name="_Toc142753442"/>
            <w:bookmarkStart w:id="265" w:name="_Toc120852280"/>
            <w:bookmarkStart w:id="266" w:name="_Toc134604200"/>
            <w:r>
              <w:rPr>
                <w:sz w:val="20"/>
                <w:szCs w:val="20"/>
                <w:shd w:val="clear" w:color="auto" w:fill="FFFFFF"/>
              </w:rPr>
              <w:t>Patients should be individually assessed to determine cultural influences on pain expression</w:t>
            </w:r>
            <w:bookmarkEnd w:id="264"/>
            <w:bookmarkEnd w:id="265"/>
            <w:bookmarkEnd w:id="266"/>
            <w:r>
              <w:rPr>
                <w:sz w:val="20"/>
                <w:szCs w:val="20"/>
                <w:shd w:val="clear" w:color="auto" w:fill="FFFFFF"/>
              </w:rPr>
              <w:t xml:space="preserve"> </w:t>
            </w:r>
          </w:p>
        </w:tc>
        <w:tc>
          <w:tcPr>
            <w:tcW w:w="990" w:type="dxa"/>
          </w:tcPr>
          <w:p>
            <w:pPr>
              <w:shd w:val="clear" w:color="auto" w:fill="FFFFFF"/>
              <w:spacing w:after="150" w:line="360" w:lineRule="auto"/>
              <w:outlineLvl w:val="2"/>
              <w:rPr>
                <w:rFonts w:ascii="Times New Roman" w:hAnsi="Times New Roman" w:cs="Times New Roman"/>
                <w:sz w:val="20"/>
                <w:szCs w:val="20"/>
                <w:shd w:val="clear" w:color="auto" w:fill="FFFFFF"/>
              </w:rPr>
            </w:pPr>
          </w:p>
        </w:tc>
        <w:tc>
          <w:tcPr>
            <w:tcW w:w="886" w:type="dxa"/>
          </w:tcPr>
          <w:p>
            <w:pPr>
              <w:shd w:val="clear" w:color="auto" w:fill="FFFFFF"/>
              <w:spacing w:after="150" w:line="360" w:lineRule="auto"/>
              <w:outlineLvl w:val="2"/>
              <w:rPr>
                <w:rFonts w:ascii="Times New Roman" w:hAnsi="Times New Roman" w:cs="Times New Roman"/>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7020" w:type="dxa"/>
          </w:tcPr>
          <w:p>
            <w:pPr>
              <w:pStyle w:val="24"/>
              <w:numPr>
                <w:ilvl w:val="0"/>
                <w:numId w:val="15"/>
              </w:numPr>
              <w:spacing w:line="360" w:lineRule="auto"/>
              <w:rPr>
                <w:rFonts w:eastAsia="Times New Roman"/>
                <w:color w:val="000000"/>
                <w:sz w:val="20"/>
                <w:szCs w:val="20"/>
              </w:rPr>
            </w:pPr>
            <w:r>
              <w:rPr>
                <w:rFonts w:eastAsia="Times New Roman"/>
                <w:color w:val="000000"/>
                <w:sz w:val="20"/>
                <w:szCs w:val="20"/>
              </w:rPr>
              <w:t>If a patient sleeps with no movement postoperatively, this indicates that the patient is not in pain.</w:t>
            </w:r>
            <w:r>
              <w:rPr>
                <w:sz w:val="20"/>
                <w:szCs w:val="20"/>
              </w:rPr>
              <w:t xml:space="preserve"> </w:t>
            </w:r>
          </w:p>
        </w:tc>
        <w:tc>
          <w:tcPr>
            <w:tcW w:w="990" w:type="dxa"/>
          </w:tcPr>
          <w:p>
            <w:pPr>
              <w:spacing w:after="0" w:line="360" w:lineRule="auto"/>
              <w:rPr>
                <w:rFonts w:ascii="Times New Roman" w:hAnsi="Times New Roman" w:eastAsia="Times New Roman" w:cs="Times New Roman"/>
                <w:color w:val="000000"/>
                <w:sz w:val="20"/>
                <w:szCs w:val="20"/>
              </w:rPr>
            </w:pPr>
          </w:p>
        </w:tc>
        <w:tc>
          <w:tcPr>
            <w:tcW w:w="886" w:type="dxa"/>
          </w:tcPr>
          <w:p>
            <w:pPr>
              <w:spacing w:after="0" w:line="360" w:lineRule="auto"/>
              <w:rPr>
                <w:rFonts w:ascii="Times New Roman" w:hAnsi="Times New Roman" w:eastAsia="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color w:val="202124"/>
                <w:sz w:val="20"/>
                <w:szCs w:val="20"/>
                <w:shd w:val="clear" w:color="auto" w:fill="FFFFFF"/>
              </w:rPr>
            </w:pPr>
            <w:r>
              <w:rPr>
                <w:color w:val="202124"/>
                <w:sz w:val="20"/>
                <w:szCs w:val="20"/>
                <w:shd w:val="clear" w:color="auto" w:fill="FFFFFF"/>
              </w:rPr>
              <w:t xml:space="preserve">Does 0-2 on the NRS (0-10) denote no pain at all? </w:t>
            </w:r>
          </w:p>
        </w:tc>
        <w:tc>
          <w:tcPr>
            <w:tcW w:w="990"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color w:val="202124"/>
                <w:sz w:val="20"/>
                <w:szCs w:val="20"/>
                <w:shd w:val="clear" w:color="auto" w:fill="FFFFFF"/>
              </w:rPr>
            </w:pPr>
            <w:r>
              <w:rPr>
                <w:color w:val="202124"/>
                <w:sz w:val="20"/>
                <w:szCs w:val="20"/>
                <w:shd w:val="clear" w:color="auto" w:fill="FFFFFF"/>
              </w:rPr>
              <w:t xml:space="preserve">On a scale of 0-10, post-operative patient with 5/10 does not need any analgesic </w:t>
            </w:r>
          </w:p>
        </w:tc>
        <w:tc>
          <w:tcPr>
            <w:tcW w:w="990"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color w:val="202124"/>
                <w:sz w:val="20"/>
                <w:szCs w:val="20"/>
                <w:shd w:val="clear" w:color="auto" w:fill="FFFFFF"/>
              </w:rPr>
            </w:pPr>
            <w:r>
              <w:rPr>
                <w:color w:val="202124"/>
                <w:sz w:val="20"/>
                <w:szCs w:val="20"/>
                <w:shd w:val="clear" w:color="auto" w:fill="FFFFFF"/>
              </w:rPr>
              <w:t>Nondrug interventions e.g., music, heat, and touch are very effective for mild to moderate pain control.</w:t>
            </w:r>
          </w:p>
        </w:tc>
        <w:tc>
          <w:tcPr>
            <w:tcW w:w="990"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color w:val="202124"/>
                <w:sz w:val="20"/>
                <w:szCs w:val="20"/>
                <w:shd w:val="clear" w:color="auto" w:fill="FFFFFF"/>
              </w:rPr>
            </w:pPr>
            <w:r>
              <w:rPr>
                <w:color w:val="202124"/>
                <w:sz w:val="20"/>
                <w:szCs w:val="20"/>
                <w:shd w:val="clear" w:color="auto" w:fill="FFFFFF"/>
              </w:rPr>
              <w:t xml:space="preserve">On a scale of 0 – 10, three represents mild pain </w:t>
            </w:r>
          </w:p>
        </w:tc>
        <w:tc>
          <w:tcPr>
            <w:tcW w:w="990"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020" w:type="dxa"/>
            <w:vMerge w:val="restart"/>
          </w:tcPr>
          <w:p>
            <w:pPr>
              <w:pStyle w:val="24"/>
              <w:numPr>
                <w:ilvl w:val="0"/>
                <w:numId w:val="15"/>
              </w:numPr>
              <w:autoSpaceDE w:val="0"/>
              <w:autoSpaceDN w:val="0"/>
              <w:adjustRightInd w:val="0"/>
              <w:spacing w:line="360" w:lineRule="auto"/>
              <w:rPr>
                <w:color w:val="202124"/>
                <w:sz w:val="20"/>
                <w:szCs w:val="20"/>
                <w:shd w:val="clear" w:color="auto" w:fill="FFFFFF"/>
              </w:rPr>
            </w:pPr>
            <w:r>
              <w:rPr>
                <w:sz w:val="20"/>
                <w:szCs w:val="20"/>
                <w:shd w:val="clear" w:color="auto" w:fill="FFFFFF"/>
              </w:rPr>
              <w:t>Today is Phillip’s 1</w:t>
            </w:r>
            <w:r>
              <w:rPr>
                <w:sz w:val="20"/>
                <w:szCs w:val="20"/>
                <w:shd w:val="clear" w:color="auto" w:fill="FFFFFF"/>
                <w:vertAlign w:val="superscript"/>
              </w:rPr>
              <w:t>st</w:t>
            </w:r>
            <w:r>
              <w:rPr>
                <w:sz w:val="20"/>
                <w:szCs w:val="20"/>
                <w:shd w:val="clear" w:color="auto" w:fill="FFFFFF"/>
              </w:rPr>
              <w:t xml:space="preserve"> post-operative day, and as you enter his room, he smiles at you and continues talking and joking with his visitor. Is his pain intensity 7/10 on the NRS?</w:t>
            </w:r>
          </w:p>
        </w:tc>
        <w:tc>
          <w:tcPr>
            <w:tcW w:w="990" w:type="dxa"/>
          </w:tcPr>
          <w:p>
            <w:pPr>
              <w:autoSpaceDE w:val="0"/>
              <w:autoSpaceDN w:val="0"/>
              <w:adjustRightInd w:val="0"/>
              <w:spacing w:after="0" w:line="360" w:lineRule="auto"/>
              <w:rPr>
                <w:rFonts w:ascii="Times New Roman" w:hAnsi="Times New Roman" w:cs="Times New Roman"/>
                <w:b/>
                <w:bCs/>
                <w:color w:val="202124"/>
                <w:sz w:val="20"/>
                <w:szCs w:val="20"/>
                <w:shd w:val="clear" w:color="auto" w:fill="FFFFFF"/>
              </w:rPr>
            </w:pPr>
          </w:p>
          <w:p>
            <w:pPr>
              <w:autoSpaceDE w:val="0"/>
              <w:autoSpaceDN w:val="0"/>
              <w:adjustRightInd w:val="0"/>
              <w:spacing w:after="0" w:line="360" w:lineRule="auto"/>
              <w:rPr>
                <w:rFonts w:ascii="Times New Roman" w:hAnsi="Times New Roman" w:cs="Times New Roman"/>
                <w:b/>
                <w:bCs/>
                <w:color w:val="202124"/>
                <w:sz w:val="20"/>
                <w:szCs w:val="20"/>
                <w:shd w:val="clear" w:color="auto" w:fill="FFFFFF"/>
              </w:rPr>
            </w:pPr>
          </w:p>
          <w:p>
            <w:pPr>
              <w:autoSpaceDE w:val="0"/>
              <w:autoSpaceDN w:val="0"/>
              <w:adjustRightInd w:val="0"/>
              <w:spacing w:after="0" w:line="360" w:lineRule="auto"/>
              <w:rPr>
                <w:rFonts w:ascii="Times New Roman" w:hAnsi="Times New Roman" w:cs="Times New Roman"/>
                <w:b/>
                <w:bCs/>
                <w:color w:val="202124"/>
                <w:sz w:val="20"/>
                <w:szCs w:val="20"/>
                <w:shd w:val="clear" w:color="auto" w:fill="FFFFFF"/>
              </w:rPr>
            </w:pPr>
            <w:r>
              <w:rPr>
                <w:rFonts w:ascii="Times New Roman" w:hAnsi="Times New Roman" w:cs="Times New Roman"/>
                <w:b/>
                <w:bCs/>
                <w:color w:val="202124"/>
                <w:sz w:val="20"/>
                <w:szCs w:val="20"/>
                <w:shd w:val="clear" w:color="auto" w:fill="FFFFFF"/>
              </w:rPr>
              <w:t>Yes</w:t>
            </w:r>
          </w:p>
        </w:tc>
        <w:tc>
          <w:tcPr>
            <w:tcW w:w="886" w:type="dxa"/>
          </w:tcPr>
          <w:p>
            <w:pPr>
              <w:autoSpaceDE w:val="0"/>
              <w:autoSpaceDN w:val="0"/>
              <w:adjustRightInd w:val="0"/>
              <w:spacing w:after="0" w:line="360" w:lineRule="auto"/>
              <w:rPr>
                <w:rFonts w:ascii="Times New Roman" w:hAnsi="Times New Roman" w:cs="Times New Roman"/>
                <w:b/>
                <w:bCs/>
                <w:color w:val="202124"/>
                <w:sz w:val="20"/>
                <w:szCs w:val="20"/>
                <w:shd w:val="clear" w:color="auto" w:fill="FFFFFF"/>
              </w:rPr>
            </w:pPr>
          </w:p>
          <w:p>
            <w:pPr>
              <w:autoSpaceDE w:val="0"/>
              <w:autoSpaceDN w:val="0"/>
              <w:adjustRightInd w:val="0"/>
              <w:spacing w:after="0" w:line="360" w:lineRule="auto"/>
              <w:rPr>
                <w:rFonts w:ascii="Times New Roman" w:hAnsi="Times New Roman" w:cs="Times New Roman"/>
                <w:b/>
                <w:bCs/>
                <w:color w:val="202124"/>
                <w:sz w:val="20"/>
                <w:szCs w:val="20"/>
                <w:shd w:val="clear" w:color="auto" w:fill="FFFFFF"/>
              </w:rPr>
            </w:pPr>
          </w:p>
          <w:p>
            <w:pPr>
              <w:autoSpaceDE w:val="0"/>
              <w:autoSpaceDN w:val="0"/>
              <w:adjustRightInd w:val="0"/>
              <w:spacing w:after="0" w:line="360" w:lineRule="auto"/>
              <w:rPr>
                <w:rFonts w:ascii="Times New Roman" w:hAnsi="Times New Roman" w:cs="Times New Roman"/>
                <w:b/>
                <w:bCs/>
                <w:color w:val="202124"/>
                <w:sz w:val="20"/>
                <w:szCs w:val="20"/>
                <w:shd w:val="clear" w:color="auto" w:fill="FFFFFF"/>
              </w:rPr>
            </w:pPr>
            <w:r>
              <w:rPr>
                <w:rFonts w:ascii="Times New Roman" w:hAnsi="Times New Roman" w:cs="Times New Roman"/>
                <w:b/>
                <w:bCs/>
                <w:color w:val="202124"/>
                <w:sz w:val="20"/>
                <w:szCs w:val="20"/>
                <w:shd w:val="clear" w:color="auto" w:fill="FFFFFF"/>
              </w:rPr>
              <w:t>No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7020" w:type="dxa"/>
            <w:vMerge w:val="continue"/>
          </w:tcPr>
          <w:p>
            <w:pPr>
              <w:pStyle w:val="24"/>
              <w:numPr>
                <w:ilvl w:val="0"/>
                <w:numId w:val="15"/>
              </w:numPr>
              <w:autoSpaceDE w:val="0"/>
              <w:autoSpaceDN w:val="0"/>
              <w:adjustRightInd w:val="0"/>
              <w:spacing w:line="360" w:lineRule="auto"/>
              <w:rPr>
                <w:sz w:val="20"/>
                <w:szCs w:val="20"/>
                <w:shd w:val="clear" w:color="auto" w:fill="FFFFFF"/>
              </w:rPr>
            </w:pPr>
          </w:p>
        </w:tc>
        <w:tc>
          <w:tcPr>
            <w:tcW w:w="990" w:type="dxa"/>
          </w:tcPr>
          <w:p>
            <w:pPr>
              <w:autoSpaceDE w:val="0"/>
              <w:autoSpaceDN w:val="0"/>
              <w:adjustRightInd w:val="0"/>
              <w:spacing w:after="0" w:line="360" w:lineRule="auto"/>
              <w:rPr>
                <w:rFonts w:ascii="Times New Roman" w:hAnsi="Times New Roman" w:cs="Times New Roman"/>
                <w:b/>
                <w:bCs/>
                <w:color w:val="202124"/>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b/>
                <w:bCs/>
                <w:color w:val="202124"/>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color w:val="202124"/>
                <w:sz w:val="20"/>
                <w:szCs w:val="20"/>
                <w:shd w:val="clear" w:color="auto" w:fill="FFFFFF"/>
              </w:rPr>
            </w:pPr>
            <w:r>
              <w:rPr>
                <w:color w:val="202124"/>
                <w:sz w:val="20"/>
                <w:szCs w:val="20"/>
                <w:shd w:val="clear" w:color="auto" w:fill="FFFFFF"/>
              </w:rPr>
              <w:t>A patient report” I think about my pain all the time and give up many activities because of pain”.  Is it right to score her 8/10 on the on the NRS?</w:t>
            </w:r>
          </w:p>
        </w:tc>
        <w:tc>
          <w:tcPr>
            <w:tcW w:w="990"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color w:val="202124"/>
                <w:sz w:val="20"/>
                <w:szCs w:val="20"/>
                <w:shd w:val="clear" w:color="auto" w:fill="FFFFFF"/>
              </w:rPr>
            </w:pPr>
            <w:r>
              <w:rPr>
                <w:color w:val="202124"/>
                <w:sz w:val="20"/>
                <w:szCs w:val="20"/>
                <w:shd w:val="clear" w:color="auto" w:fill="FFFFFF"/>
              </w:rPr>
              <w:t>Miss N.B.M., said that “my pain bothers me, but I can ignore it most of the time. Could it be fine to score the pain as “5/10” on the NRS?</w:t>
            </w:r>
          </w:p>
        </w:tc>
        <w:tc>
          <w:tcPr>
            <w:tcW w:w="990"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7020" w:type="dxa"/>
          </w:tcPr>
          <w:p>
            <w:pPr>
              <w:pStyle w:val="24"/>
              <w:numPr>
                <w:ilvl w:val="0"/>
                <w:numId w:val="15"/>
              </w:numPr>
              <w:autoSpaceDE w:val="0"/>
              <w:autoSpaceDN w:val="0"/>
              <w:adjustRightInd w:val="0"/>
              <w:spacing w:line="360" w:lineRule="auto"/>
              <w:rPr>
                <w:color w:val="202124"/>
                <w:sz w:val="20"/>
                <w:szCs w:val="20"/>
                <w:shd w:val="clear" w:color="auto" w:fill="FFFFFF"/>
              </w:rPr>
            </w:pPr>
            <w:r>
              <w:rPr>
                <w:sz w:val="20"/>
                <w:szCs w:val="20"/>
                <w:shd w:val="clear" w:color="auto" w:fill="FFFFFF"/>
              </w:rPr>
              <w:t>Mr.P.M today is his 1</w:t>
            </w:r>
            <w:r>
              <w:rPr>
                <w:sz w:val="20"/>
                <w:szCs w:val="20"/>
                <w:shd w:val="clear" w:color="auto" w:fill="FFFFFF"/>
                <w:vertAlign w:val="superscript"/>
              </w:rPr>
              <w:t>st</w:t>
            </w:r>
            <w:r>
              <w:rPr>
                <w:sz w:val="20"/>
                <w:szCs w:val="20"/>
                <w:shd w:val="clear" w:color="auto" w:fill="FFFFFF"/>
              </w:rPr>
              <w:t xml:space="preserve"> POD following abdominal surgery. He is found lying curled in fetal position, quietly in bed and grimaces as he turns in bed. Does 8/10 portray the patient’s pain intensity using the NRS?</w:t>
            </w:r>
          </w:p>
        </w:tc>
        <w:tc>
          <w:tcPr>
            <w:tcW w:w="990"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c>
          <w:tcPr>
            <w:tcW w:w="886" w:type="dxa"/>
          </w:tcPr>
          <w:p>
            <w:pPr>
              <w:autoSpaceDE w:val="0"/>
              <w:autoSpaceDN w:val="0"/>
              <w:adjustRightInd w:val="0"/>
              <w:spacing w:after="0" w:line="360" w:lineRule="auto"/>
              <w:rPr>
                <w:rFonts w:ascii="Times New Roman" w:hAnsi="Times New Roman" w:cs="Times New Roman"/>
                <w:color w:val="202124"/>
                <w:sz w:val="20"/>
                <w:szCs w:val="20"/>
                <w:shd w:val="clear" w:color="auto" w:fill="FFFFFF"/>
              </w:rPr>
            </w:pPr>
          </w:p>
        </w:tc>
      </w:tr>
    </w:tbl>
    <w:p>
      <w:pPr>
        <w:autoSpaceDE w:val="0"/>
        <w:autoSpaceDN w:val="0"/>
        <w:adjustRightInd w:val="0"/>
        <w:spacing w:line="360" w:lineRule="auto"/>
        <w:rPr>
          <w:rFonts w:ascii="Times New Roman" w:hAnsi="Times New Roman" w:eastAsia="MS Mincho" w:cs="Times New Roman"/>
          <w:b/>
          <w:bCs/>
          <w:sz w:val="20"/>
          <w:szCs w:val="20"/>
        </w:rPr>
      </w:pPr>
    </w:p>
    <w:p>
      <w:pPr>
        <w:autoSpaceDE w:val="0"/>
        <w:autoSpaceDN w:val="0"/>
        <w:adjustRightInd w:val="0"/>
        <w:spacing w:line="360" w:lineRule="auto"/>
        <w:rPr>
          <w:rFonts w:ascii="Times New Roman" w:hAnsi="Times New Roman" w:eastAsia="MS Mincho" w:cs="Times New Roman"/>
          <w:b/>
          <w:bCs/>
          <w:sz w:val="20"/>
          <w:szCs w:val="20"/>
        </w:rPr>
      </w:pPr>
    </w:p>
    <w:p>
      <w:pPr>
        <w:autoSpaceDE w:val="0"/>
        <w:autoSpaceDN w:val="0"/>
        <w:adjustRightInd w:val="0"/>
        <w:spacing w:line="360" w:lineRule="auto"/>
        <w:rPr>
          <w:rFonts w:ascii="Times New Roman" w:hAnsi="Times New Roman" w:eastAsia="MS Mincho" w:cs="Times New Roman"/>
          <w:b/>
          <w:bCs/>
          <w:sz w:val="20"/>
          <w:szCs w:val="20"/>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
          <w:bCs/>
          <w:sz w:val="24"/>
          <w:szCs w:val="24"/>
        </w:rPr>
      </w:pPr>
    </w:p>
    <w:p>
      <w:pPr>
        <w:autoSpaceDE w:val="0"/>
        <w:autoSpaceDN w:val="0"/>
        <w:adjustRightInd w:val="0"/>
        <w:spacing w:line="360" w:lineRule="auto"/>
        <w:rPr>
          <w:rFonts w:ascii="Times New Roman" w:hAnsi="Times New Roman" w:eastAsia="MS Mincho" w:cs="Times New Roman"/>
          <w:bCs/>
          <w:sz w:val="24"/>
          <w:szCs w:val="24"/>
        </w:rPr>
      </w:pPr>
      <w:r>
        <w:rPr>
          <w:rFonts w:ascii="Times New Roman" w:hAnsi="Times New Roman" w:eastAsia="MS Mincho" w:cs="Times New Roman"/>
          <w:b/>
          <w:bCs/>
          <w:sz w:val="24"/>
          <w:szCs w:val="24"/>
        </w:rPr>
        <w:t>Part III:</w:t>
      </w:r>
      <w:r>
        <w:rPr>
          <w:rFonts w:ascii="Times New Roman" w:hAnsi="Times New Roman" w:eastAsia="MS Mincho" w:cs="Times New Roman"/>
          <w:b/>
          <w:sz w:val="24"/>
          <w:szCs w:val="24"/>
        </w:rPr>
        <w:t xml:space="preserve"> </w:t>
      </w:r>
      <w:r>
        <w:rPr>
          <w:rFonts w:ascii="Times New Roman" w:hAnsi="Times New Roman" w:eastAsia="MS Mincho" w:cs="Times New Roman"/>
          <w:b/>
          <w:bCs/>
          <w:sz w:val="24"/>
          <w:szCs w:val="24"/>
        </w:rPr>
        <w:t xml:space="preserve">Nurse’s Attitude towards Post-Operative Pain Assessment. </w:t>
      </w:r>
    </w:p>
    <w:p>
      <w:pPr>
        <w:autoSpaceDE w:val="0"/>
        <w:autoSpaceDN w:val="0"/>
        <w:adjustRightInd w:val="0"/>
        <w:spacing w:line="360" w:lineRule="auto"/>
        <w:rPr>
          <w:rFonts w:ascii="Times New Roman" w:hAnsi="Times New Roman" w:eastAsia="MS Mincho" w:cs="Times New Roman"/>
          <w:b/>
          <w:bCs/>
          <w:sz w:val="24"/>
          <w:szCs w:val="24"/>
        </w:rPr>
      </w:pPr>
      <w:r>
        <w:rPr>
          <w:rFonts w:ascii="Times New Roman" w:hAnsi="Times New Roman" w:eastAsia="MS Mincho" w:cs="Times New Roman"/>
          <w:bCs/>
          <w:sz w:val="24"/>
          <w:szCs w:val="24"/>
        </w:rPr>
        <w:t>Please tick the statement with the correct response regarding your attitude towards pain assessment and management</w:t>
      </w:r>
    </w:p>
    <w:tbl>
      <w:tblPr>
        <w:tblStyle w:val="32"/>
        <w:tblW w:w="97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65"/>
        <w:gridCol w:w="1170"/>
        <w:gridCol w:w="810"/>
        <w:gridCol w:w="900"/>
        <w:gridCol w:w="1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665"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sz w:val="20"/>
                <w:szCs w:val="20"/>
              </w:rPr>
            </w:pPr>
            <w:r>
              <w:rPr>
                <w:rFonts w:ascii="Times New Roman" w:hAnsi="Times New Roman" w:eastAsia="Times New Roman" w:cs="Times New Roman"/>
                <w:b/>
                <w:sz w:val="20"/>
                <w:szCs w:val="20"/>
              </w:rPr>
              <w:t xml:space="preserve">Variable </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sz w:val="20"/>
                <w:szCs w:val="20"/>
              </w:rPr>
            </w:pPr>
            <w:r>
              <w:rPr>
                <w:rFonts w:ascii="Times New Roman" w:hAnsi="Times New Roman" w:eastAsia="Times New Roman" w:cs="Times New Roman"/>
                <w:b/>
                <w:sz w:val="20"/>
                <w:szCs w:val="20"/>
              </w:rPr>
              <w:t>Strongly disagree (1)</w:t>
            </w: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sz w:val="20"/>
                <w:szCs w:val="20"/>
              </w:rPr>
            </w:pPr>
            <w:r>
              <w:rPr>
                <w:rFonts w:ascii="Times New Roman" w:hAnsi="Times New Roman" w:eastAsia="Times New Roman" w:cs="Times New Roman"/>
                <w:b/>
                <w:sz w:val="20"/>
                <w:szCs w:val="20"/>
              </w:rPr>
              <w:t>Disagree (2)</w:t>
            </w: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sz w:val="20"/>
                <w:szCs w:val="20"/>
              </w:rPr>
            </w:pPr>
            <w:r>
              <w:rPr>
                <w:rFonts w:ascii="Times New Roman" w:hAnsi="Times New Roman" w:eastAsia="Times New Roman" w:cs="Times New Roman"/>
                <w:b/>
                <w:sz w:val="20"/>
                <w:szCs w:val="20"/>
              </w:rPr>
              <w:t>Agree (3)</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sz w:val="20"/>
                <w:szCs w:val="20"/>
              </w:rPr>
            </w:pPr>
            <w:r>
              <w:rPr>
                <w:rFonts w:ascii="Times New Roman" w:hAnsi="Times New Roman" w:eastAsia="Times New Roman" w:cs="Times New Roman"/>
                <w:b/>
                <w:sz w:val="20"/>
                <w:szCs w:val="20"/>
              </w:rPr>
              <w:t>Strongly Agree (4)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5665" w:type="dxa"/>
            <w:tcBorders>
              <w:top w:val="single" w:color="auto" w:sz="4" w:space="0"/>
              <w:left w:val="single" w:color="auto" w:sz="4" w:space="0"/>
              <w:bottom w:val="single" w:color="auto" w:sz="4" w:space="0"/>
              <w:right w:val="single" w:color="auto" w:sz="4" w:space="0"/>
            </w:tcBorders>
          </w:tcPr>
          <w:p>
            <w:pPr>
              <w:pStyle w:val="24"/>
              <w:numPr>
                <w:ilvl w:val="0"/>
                <w:numId w:val="16"/>
              </w:numPr>
              <w:autoSpaceDE w:val="0"/>
              <w:autoSpaceDN w:val="0"/>
              <w:adjustRightInd w:val="0"/>
              <w:spacing w:line="360" w:lineRule="auto"/>
              <w:rPr>
                <w:rFonts w:eastAsia="Times New Roman"/>
                <w:sz w:val="20"/>
                <w:szCs w:val="20"/>
                <w:shd w:val="clear" w:color="auto" w:fill="FFFFFF"/>
              </w:rPr>
            </w:pPr>
            <w:r>
              <w:rPr>
                <w:sz w:val="20"/>
                <w:szCs w:val="20"/>
              </w:rPr>
              <w:t>I at all times agree with the patient’s self-report of pain</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5665" w:type="dxa"/>
            <w:tcBorders>
              <w:top w:val="single" w:color="auto" w:sz="4" w:space="0"/>
              <w:left w:val="single" w:color="auto" w:sz="4" w:space="0"/>
              <w:bottom w:val="single" w:color="auto" w:sz="4" w:space="0"/>
              <w:right w:val="single" w:color="auto" w:sz="4" w:space="0"/>
            </w:tcBorders>
          </w:tcPr>
          <w:p>
            <w:pPr>
              <w:pStyle w:val="24"/>
              <w:numPr>
                <w:ilvl w:val="0"/>
                <w:numId w:val="16"/>
              </w:numPr>
              <w:autoSpaceDE w:val="0"/>
              <w:autoSpaceDN w:val="0"/>
              <w:adjustRightInd w:val="0"/>
              <w:spacing w:line="360" w:lineRule="auto"/>
              <w:rPr>
                <w:sz w:val="20"/>
                <w:szCs w:val="20"/>
              </w:rPr>
            </w:pPr>
            <w:r>
              <w:rPr>
                <w:rFonts w:eastAsia="Times New Roman"/>
                <w:sz w:val="20"/>
                <w:szCs w:val="20"/>
                <w:shd w:val="clear" w:color="auto" w:fill="FFFFFF"/>
              </w:rPr>
              <w:t>I anticipate pain in all surgical procedures before I assess and treat pain in a patient</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5665" w:type="dxa"/>
            <w:tcBorders>
              <w:top w:val="single" w:color="auto" w:sz="4" w:space="0"/>
              <w:left w:val="single" w:color="auto" w:sz="4" w:space="0"/>
              <w:bottom w:val="single" w:color="auto" w:sz="4" w:space="0"/>
              <w:right w:val="single" w:color="auto" w:sz="4" w:space="0"/>
            </w:tcBorders>
          </w:tcPr>
          <w:p>
            <w:pPr>
              <w:pStyle w:val="24"/>
              <w:numPr>
                <w:ilvl w:val="0"/>
                <w:numId w:val="16"/>
              </w:numPr>
              <w:autoSpaceDE w:val="0"/>
              <w:autoSpaceDN w:val="0"/>
              <w:adjustRightInd w:val="0"/>
              <w:spacing w:line="360" w:lineRule="auto"/>
              <w:rPr>
                <w:sz w:val="20"/>
                <w:szCs w:val="20"/>
              </w:rPr>
            </w:pPr>
            <w:r>
              <w:rPr>
                <w:sz w:val="20"/>
                <w:szCs w:val="20"/>
              </w:rPr>
              <w:t>Lack of expression in the postoperative patient means lack of pain.</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trPr>
        <w:tc>
          <w:tcPr>
            <w:tcW w:w="5665" w:type="dxa"/>
            <w:tcBorders>
              <w:top w:val="single" w:color="auto" w:sz="4" w:space="0"/>
              <w:left w:val="single" w:color="auto" w:sz="4" w:space="0"/>
              <w:bottom w:val="single" w:color="auto" w:sz="4" w:space="0"/>
              <w:right w:val="single" w:color="auto" w:sz="4" w:space="0"/>
            </w:tcBorders>
          </w:tcPr>
          <w:p>
            <w:pPr>
              <w:pStyle w:val="24"/>
              <w:numPr>
                <w:ilvl w:val="0"/>
                <w:numId w:val="16"/>
              </w:numPr>
              <w:autoSpaceDE w:val="0"/>
              <w:autoSpaceDN w:val="0"/>
              <w:adjustRightInd w:val="0"/>
              <w:spacing w:line="360" w:lineRule="auto"/>
              <w:rPr>
                <w:sz w:val="20"/>
                <w:szCs w:val="20"/>
              </w:rPr>
            </w:pPr>
            <w:r>
              <w:rPr>
                <w:sz w:val="20"/>
                <w:szCs w:val="20"/>
              </w:rPr>
              <w:t>If patient’s thoughts are distracted from pain, they usually do not suffer from severe pain</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r>
              <w:rPr>
                <w:rFonts w:ascii="Times New Roman" w:hAnsi="Times New Roman" w:eastAsia="Times New Roman" w:cs="Times New Roman"/>
                <w:b/>
                <w:bCs/>
                <w:sz w:val="20"/>
                <w:szCs w:val="20"/>
              </w:rPr>
              <w:t>SD</w:t>
            </w: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r>
              <w:rPr>
                <w:rFonts w:ascii="Times New Roman" w:hAnsi="Times New Roman" w:eastAsia="Times New Roman" w:cs="Times New Roman"/>
                <w:b/>
                <w:bCs/>
                <w:sz w:val="20"/>
                <w:szCs w:val="20"/>
              </w:rPr>
              <w:t>D</w:t>
            </w: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r>
              <w:rPr>
                <w:rFonts w:ascii="Times New Roman" w:hAnsi="Times New Roman" w:eastAsia="Times New Roman" w:cs="Times New Roman"/>
                <w:b/>
                <w:bCs/>
                <w:sz w:val="20"/>
                <w:szCs w:val="20"/>
              </w:rPr>
              <w:t>A</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r>
              <w:rPr>
                <w:rFonts w:ascii="Times New Roman" w:hAnsi="Times New Roman" w:eastAsia="Times New Roman" w:cs="Times New Roman"/>
                <w:b/>
                <w:bCs/>
                <w:sz w:val="20"/>
                <w:szCs w:val="20"/>
              </w:rPr>
              <w:t>SA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trPr>
        <w:tc>
          <w:tcPr>
            <w:tcW w:w="5665" w:type="dxa"/>
            <w:tcBorders>
              <w:top w:val="single" w:color="auto" w:sz="4" w:space="0"/>
              <w:left w:val="single" w:color="auto" w:sz="4" w:space="0"/>
              <w:bottom w:val="single" w:color="auto" w:sz="4" w:space="0"/>
              <w:right w:val="single" w:color="auto" w:sz="4" w:space="0"/>
            </w:tcBorders>
          </w:tcPr>
          <w:p>
            <w:pPr>
              <w:pStyle w:val="24"/>
              <w:numPr>
                <w:ilvl w:val="0"/>
                <w:numId w:val="16"/>
              </w:numPr>
              <w:autoSpaceDE w:val="0"/>
              <w:autoSpaceDN w:val="0"/>
              <w:adjustRightInd w:val="0"/>
              <w:spacing w:line="360" w:lineRule="auto"/>
              <w:rPr>
                <w:rFonts w:eastAsia="Times New Roman"/>
                <w:sz w:val="20"/>
                <w:szCs w:val="20"/>
              </w:rPr>
            </w:pPr>
            <w:r>
              <w:rPr>
                <w:sz w:val="20"/>
                <w:szCs w:val="20"/>
              </w:rPr>
              <w:t>Morphine is a very strong drug. Postoperative patients are not expected to feel pain when receiving it.</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5665" w:type="dxa"/>
            <w:tcBorders>
              <w:top w:val="single" w:color="auto" w:sz="4" w:space="0"/>
              <w:left w:val="single" w:color="auto" w:sz="4" w:space="0"/>
              <w:bottom w:val="single" w:color="auto" w:sz="4" w:space="0"/>
              <w:right w:val="single" w:color="auto" w:sz="4" w:space="0"/>
            </w:tcBorders>
          </w:tcPr>
          <w:p>
            <w:pPr>
              <w:pStyle w:val="24"/>
              <w:numPr>
                <w:ilvl w:val="0"/>
                <w:numId w:val="16"/>
              </w:numPr>
              <w:autoSpaceDE w:val="0"/>
              <w:autoSpaceDN w:val="0"/>
              <w:adjustRightInd w:val="0"/>
              <w:spacing w:line="360" w:lineRule="auto"/>
              <w:rPr>
                <w:sz w:val="20"/>
                <w:szCs w:val="20"/>
              </w:rPr>
            </w:pPr>
            <w:r>
              <w:rPr>
                <w:sz w:val="20"/>
                <w:szCs w:val="20"/>
                <w:shd w:val="clear" w:color="auto" w:fill="FFFFFF"/>
              </w:rPr>
              <w:t xml:space="preserve">A patient suffering from pain will always complain to the primary nurse </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b/>
                <w:bCs/>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5665" w:type="dxa"/>
            <w:tcBorders>
              <w:top w:val="single" w:color="auto" w:sz="4" w:space="0"/>
              <w:left w:val="single" w:color="auto" w:sz="4" w:space="0"/>
              <w:bottom w:val="single" w:color="auto" w:sz="4" w:space="0"/>
              <w:right w:val="single" w:color="auto" w:sz="4" w:space="0"/>
            </w:tcBorders>
          </w:tcPr>
          <w:p>
            <w:pPr>
              <w:pStyle w:val="25"/>
              <w:numPr>
                <w:ilvl w:val="0"/>
                <w:numId w:val="16"/>
              </w:numPr>
              <w:spacing w:line="36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shd w:val="clear" w:color="auto" w:fill="FFFFFF"/>
              </w:rPr>
              <w:t>Your visual assessment of the patient reporting pain influences your response and treatment of POP.</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5665" w:type="dxa"/>
            <w:tcBorders>
              <w:top w:val="single" w:color="auto" w:sz="4" w:space="0"/>
              <w:left w:val="single" w:color="auto" w:sz="4" w:space="0"/>
              <w:bottom w:val="single" w:color="auto" w:sz="4" w:space="0"/>
              <w:right w:val="single" w:color="auto" w:sz="4" w:space="0"/>
            </w:tcBorders>
          </w:tcPr>
          <w:p>
            <w:pPr>
              <w:pStyle w:val="25"/>
              <w:numPr>
                <w:ilvl w:val="0"/>
                <w:numId w:val="16"/>
              </w:numPr>
              <w:spacing w:line="36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shd w:val="clear" w:color="auto" w:fill="FFFFFF"/>
              </w:rPr>
              <w:t>Using pain measurement instruments is integral in post-operative pain management</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5665" w:type="dxa"/>
            <w:tcBorders>
              <w:top w:val="single" w:color="auto" w:sz="4" w:space="0"/>
              <w:left w:val="single" w:color="auto" w:sz="4" w:space="0"/>
              <w:bottom w:val="single" w:color="auto" w:sz="4" w:space="0"/>
              <w:right w:val="single" w:color="auto" w:sz="4" w:space="0"/>
            </w:tcBorders>
          </w:tcPr>
          <w:p>
            <w:pPr>
              <w:pStyle w:val="25"/>
              <w:numPr>
                <w:ilvl w:val="0"/>
                <w:numId w:val="16"/>
              </w:numPr>
              <w:spacing w:line="36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Elderly patients are not able to cope with opioid analgesics for pain relief</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5665" w:type="dxa"/>
            <w:tcBorders>
              <w:top w:val="single" w:color="auto" w:sz="4" w:space="0"/>
              <w:left w:val="single" w:color="auto" w:sz="4" w:space="0"/>
              <w:bottom w:val="single" w:color="auto" w:sz="4" w:space="0"/>
              <w:right w:val="single" w:color="auto" w:sz="4" w:space="0"/>
            </w:tcBorders>
          </w:tcPr>
          <w:p>
            <w:pPr>
              <w:pStyle w:val="25"/>
              <w:numPr>
                <w:ilvl w:val="0"/>
                <w:numId w:val="16"/>
              </w:numPr>
              <w:spacing w:line="36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 xml:space="preserve">Before using an opioid analgesic, I will encourage the patients to wait a while longer till the next dose  </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5665" w:type="dxa"/>
            <w:tcBorders>
              <w:top w:val="single" w:color="auto" w:sz="4" w:space="0"/>
              <w:left w:val="single" w:color="auto" w:sz="4" w:space="0"/>
              <w:bottom w:val="single" w:color="auto" w:sz="4" w:space="0"/>
              <w:right w:val="single" w:color="auto" w:sz="4" w:space="0"/>
            </w:tcBorders>
          </w:tcPr>
          <w:p>
            <w:pPr>
              <w:pStyle w:val="25"/>
              <w:numPr>
                <w:ilvl w:val="0"/>
                <w:numId w:val="16"/>
              </w:numPr>
              <w:spacing w:line="36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Nurses should rely exclusively on the patient’s assessment to determine pain intensity</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5665" w:type="dxa"/>
            <w:tcBorders>
              <w:top w:val="single" w:color="auto" w:sz="4" w:space="0"/>
              <w:left w:val="single" w:color="auto" w:sz="4" w:space="0"/>
              <w:bottom w:val="single" w:color="auto" w:sz="4" w:space="0"/>
              <w:right w:val="single" w:color="auto" w:sz="4" w:space="0"/>
            </w:tcBorders>
          </w:tcPr>
          <w:p>
            <w:pPr>
              <w:pStyle w:val="25"/>
              <w:numPr>
                <w:ilvl w:val="0"/>
                <w:numId w:val="16"/>
              </w:numPr>
              <w:spacing w:line="36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The spiritual beliefs of a patient may determine how they respond to pain.</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5665" w:type="dxa"/>
            <w:tcBorders>
              <w:top w:val="single" w:color="auto" w:sz="4" w:space="0"/>
              <w:left w:val="single" w:color="auto" w:sz="4" w:space="0"/>
              <w:bottom w:val="single" w:color="auto" w:sz="4" w:space="0"/>
              <w:right w:val="single" w:color="auto" w:sz="4" w:space="0"/>
            </w:tcBorders>
          </w:tcPr>
          <w:p>
            <w:pPr>
              <w:pStyle w:val="25"/>
              <w:numPr>
                <w:ilvl w:val="0"/>
                <w:numId w:val="16"/>
              </w:numPr>
              <w:spacing w:line="360" w:lineRule="auto"/>
              <w:rPr>
                <w:rFonts w:ascii="Times New Roman" w:hAnsi="Times New Roman" w:eastAsia="Times New Roman" w:cs="Times New Roman"/>
                <w:sz w:val="20"/>
                <w:szCs w:val="20"/>
              </w:rPr>
            </w:pPr>
            <w:r>
              <w:rPr>
                <w:rFonts w:ascii="Times New Roman" w:hAnsi="Times New Roman" w:eastAsia="Times New Roman" w:cs="Times New Roman"/>
                <w:sz w:val="20"/>
                <w:szCs w:val="20"/>
              </w:rPr>
              <w:t>Patients complaining of pain is not my priority when I am busy</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5665" w:type="dxa"/>
            <w:tcBorders>
              <w:top w:val="single" w:color="auto" w:sz="4" w:space="0"/>
              <w:left w:val="single" w:color="auto" w:sz="4" w:space="0"/>
              <w:bottom w:val="single" w:color="auto" w:sz="4" w:space="0"/>
              <w:right w:val="single" w:color="auto" w:sz="4" w:space="0"/>
            </w:tcBorders>
          </w:tcPr>
          <w:p>
            <w:pPr>
              <w:pStyle w:val="25"/>
              <w:numPr>
                <w:ilvl w:val="0"/>
                <w:numId w:val="16"/>
              </w:numPr>
              <w:spacing w:line="360" w:lineRule="auto"/>
              <w:rPr>
                <w:rFonts w:ascii="Times New Roman" w:hAnsi="Times New Roman" w:eastAsia="Times New Roman" w:cs="Times New Roman"/>
                <w:sz w:val="20"/>
                <w:szCs w:val="20"/>
                <w:shd w:val="clear" w:color="auto" w:fill="FFFFFF"/>
              </w:rPr>
            </w:pPr>
            <w:r>
              <w:rPr>
                <w:rFonts w:ascii="Times New Roman" w:hAnsi="Times New Roman" w:eastAsia="Times New Roman" w:cs="Times New Roman"/>
                <w:sz w:val="20"/>
                <w:szCs w:val="20"/>
                <w:shd w:val="clear" w:color="auto" w:fill="FFFFFF"/>
              </w:rPr>
              <w:t>The type of surgery done affects my response to pain management</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trPr>
        <w:tc>
          <w:tcPr>
            <w:tcW w:w="5665" w:type="dxa"/>
            <w:tcBorders>
              <w:top w:val="single" w:color="auto" w:sz="4" w:space="0"/>
              <w:left w:val="single" w:color="auto" w:sz="4" w:space="0"/>
              <w:bottom w:val="single" w:color="auto" w:sz="4" w:space="0"/>
              <w:right w:val="single" w:color="auto" w:sz="4" w:space="0"/>
            </w:tcBorders>
          </w:tcPr>
          <w:p>
            <w:pPr>
              <w:pStyle w:val="25"/>
              <w:numPr>
                <w:ilvl w:val="0"/>
                <w:numId w:val="16"/>
              </w:numPr>
              <w:spacing w:line="360" w:lineRule="auto"/>
              <w:rPr>
                <w:rFonts w:ascii="Times New Roman" w:hAnsi="Times New Roman" w:eastAsia="Times New Roman" w:cs="Times New Roman"/>
                <w:sz w:val="20"/>
                <w:szCs w:val="20"/>
                <w:shd w:val="clear" w:color="auto" w:fill="FFFFFF"/>
              </w:rPr>
            </w:pPr>
            <w:r>
              <w:rPr>
                <w:rFonts w:ascii="Times New Roman" w:hAnsi="Times New Roman" w:eastAsia="MS Mincho" w:cs="Times New Roman"/>
                <w:sz w:val="20"/>
                <w:szCs w:val="20"/>
                <w:lang w:eastAsia="ja-JP"/>
              </w:rPr>
              <w:t xml:space="preserve">Women exaggerate post-operative pain during assessment </w:t>
            </w: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81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90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c>
          <w:tcPr>
            <w:tcW w:w="1170"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360" w:lineRule="auto"/>
              <w:rPr>
                <w:rFonts w:ascii="Times New Roman" w:hAnsi="Times New Roman" w:eastAsia="Times New Roman" w:cs="Times New Roman"/>
                <w:sz w:val="20"/>
                <w:szCs w:val="20"/>
              </w:rPr>
            </w:pPr>
          </w:p>
        </w:tc>
      </w:tr>
    </w:tbl>
    <w:p>
      <w:pPr>
        <w:rPr>
          <w:rFonts w:ascii="Times New Roman" w:hAnsi="Times New Roman" w:cs="Times New Roman"/>
          <w:sz w:val="24"/>
          <w:szCs w:val="24"/>
        </w:rPr>
      </w:pPr>
    </w:p>
    <w:p>
      <w:pPr>
        <w:rPr>
          <w:rFonts w:ascii="Times New Roman" w:hAnsi="Times New Roman" w:cs="Times New Roman"/>
          <w:b/>
          <w:bCs/>
          <w:sz w:val="24"/>
          <w:szCs w:val="24"/>
        </w:rPr>
      </w:pPr>
      <w:r>
        <w:rPr>
          <w:rFonts w:ascii="Times New Roman" w:hAnsi="Times New Roman" w:cs="Times New Roman"/>
          <w:b/>
          <w:bCs/>
          <w:sz w:val="24"/>
          <w:szCs w:val="24"/>
        </w:rPr>
        <w:t>Appendix B: Integration of The Pain Assessment Scale to the Nurses' Knowledge, Attitude, and Practice towards Post-Operative Pain Management</w:t>
      </w:r>
    </w:p>
    <w:p>
      <w:pPr>
        <w:rPr>
          <w:rFonts w:ascii="Times New Roman" w:hAnsi="Times New Roman" w:cs="Times New Roman"/>
          <w:b/>
          <w:bCs/>
          <w:i/>
          <w:iCs/>
          <w:sz w:val="24"/>
          <w:szCs w:val="24"/>
        </w:rPr>
      </w:pPr>
      <w:r>
        <w:rPr>
          <w:rFonts w:ascii="Times New Roman" w:hAnsi="Times New Roman" w:cs="Times New Roman"/>
          <w:b/>
          <w:bCs/>
          <w:i/>
          <w:iCs/>
          <w:sz w:val="24"/>
          <w:szCs w:val="24"/>
        </w:rPr>
        <w:t xml:space="preserve">Checklist for practice </w:t>
      </w:r>
    </w:p>
    <w:tbl>
      <w:tblPr>
        <w:tblStyle w:val="19"/>
        <w:tblW w:w="91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15"/>
        <w:gridCol w:w="1006"/>
        <w:gridCol w:w="11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rPr>
                <w:rFonts w:eastAsia="Times New Roman"/>
                <w:color w:val="000000"/>
              </w:rPr>
            </w:pPr>
            <w:r>
              <w:rPr>
                <w:rFonts w:eastAsia="Times New Roman"/>
                <w:color w:val="000000"/>
              </w:rPr>
              <w:t xml:space="preserve">Activities during pain assessment and management </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r>
              <w:rPr>
                <w:rFonts w:ascii="Times New Roman" w:hAnsi="Times New Roman" w:eastAsia="MS Mincho" w:cs="Times New Roman"/>
                <w:sz w:val="24"/>
                <w:szCs w:val="24"/>
              </w:rPr>
              <w:t xml:space="preserve">Done </w:t>
            </w: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r>
              <w:rPr>
                <w:rFonts w:ascii="Times New Roman" w:hAnsi="Times New Roman" w:eastAsia="MS Mincho" w:cs="Times New Roman"/>
                <w:sz w:val="24"/>
                <w:szCs w:val="24"/>
              </w:rPr>
              <w:t xml:space="preserve">Not done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pPr>
            <w:r>
              <w:rPr>
                <w:rFonts w:eastAsia="Times New Roman"/>
                <w:color w:val="000000"/>
              </w:rPr>
              <w:t>Provides direct nursing care to POP patients.</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pPr>
            <w:r>
              <w:rPr>
                <w:rFonts w:eastAsia="Times New Roman"/>
                <w:color w:val="000000"/>
              </w:rPr>
              <w:t>Assesses for pain intensity for patient who are able to communicate.</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rPr>
                <w:rFonts w:eastAsia="Times New Roman"/>
                <w:color w:val="000000"/>
              </w:rPr>
            </w:pPr>
            <w:r>
              <w:rPr>
                <w:rFonts w:eastAsia="Times New Roman"/>
                <w:color w:val="000000"/>
              </w:rPr>
              <w:t>Assesses pain using the PQRST</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pPr>
            <w:r>
              <w:rPr>
                <w:rFonts w:eastAsia="Times New Roman"/>
                <w:color w:val="000000"/>
              </w:rPr>
              <w:t>Assesses pain using a pain assessment tool.</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pPr>
            <w:r>
              <w:rPr>
                <w:rFonts w:eastAsia="Times New Roman"/>
                <w:color w:val="000000"/>
              </w:rPr>
              <w:t>Clearly documents pain assessment findings using a numeric rating scale</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pPr>
            <w:r>
              <w:rPr>
                <w:rFonts w:eastAsia="Times New Roman"/>
                <w:color w:val="000000"/>
              </w:rPr>
              <w:t>Explains clearly to ensure the patient understands the pain levels on the scale</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pPr>
            <w:r>
              <w:t>Communicates findings with the relevant authority</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pPr>
            <w:r>
              <w:rPr>
                <w:rFonts w:eastAsia="Times New Roman"/>
                <w:color w:val="000000"/>
              </w:rPr>
              <w:t>Agrees with patients’ statements about their pain</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pPr>
            <w:r>
              <w:rPr>
                <w:rFonts w:eastAsia="Times New Roman"/>
                <w:color w:val="000000"/>
              </w:rPr>
              <w:t>Probes to validate patients’ statements about their pain</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rPr>
                <w:rFonts w:eastAsia="Times New Roman"/>
                <w:color w:val="000000"/>
              </w:rPr>
            </w:pPr>
            <w:r>
              <w:rPr>
                <w:rFonts w:eastAsia="Times New Roman"/>
                <w:color w:val="000000"/>
              </w:rPr>
              <w:t>Educates patient about pain management strategies (list for each checklist)</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rPr>
                <w:rFonts w:eastAsia="Times New Roman"/>
                <w:color w:val="000000"/>
              </w:rPr>
            </w:pPr>
            <w:r>
              <w:rPr>
                <w:rFonts w:eastAsia="Times New Roman"/>
                <w:color w:val="000000"/>
              </w:rPr>
              <w:t>Reassesses pain level after intervention</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rPr>
                <w:rFonts w:eastAsia="Times New Roman"/>
                <w:color w:val="000000"/>
              </w:rPr>
            </w:pPr>
            <w:r>
              <w:rPr>
                <w:rFonts w:eastAsia="Times New Roman"/>
                <w:color w:val="000000"/>
              </w:rPr>
              <w:t>Involves patient and family in pain assessment plan</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autoSpaceDE w:val="0"/>
              <w:autoSpaceDN w:val="0"/>
              <w:adjustRightInd w:val="0"/>
              <w:spacing w:line="360" w:lineRule="auto"/>
              <w:rPr>
                <w:rFonts w:eastAsia="Times New Roman"/>
                <w:color w:val="000000"/>
              </w:rPr>
            </w:pPr>
            <w:r>
              <w:rPr>
                <w:rFonts w:eastAsia="Times New Roman"/>
                <w:color w:val="000000"/>
              </w:rPr>
              <w:t>Documents treatment modality for pain</w:t>
            </w: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15" w:type="dxa"/>
          </w:tcPr>
          <w:p>
            <w:pPr>
              <w:pStyle w:val="24"/>
              <w:numPr>
                <w:ilvl w:val="0"/>
                <w:numId w:val="17"/>
              </w:numPr>
              <w:rPr>
                <w:rFonts w:eastAsia="Times New Roman"/>
                <w:color w:val="000000"/>
              </w:rPr>
            </w:pPr>
            <w:r>
              <w:rPr>
                <w:rFonts w:eastAsia="Times New Roman"/>
                <w:color w:val="000000"/>
              </w:rPr>
              <w:t xml:space="preserve">Impact of pain on functionality is documented. </w:t>
            </w:r>
          </w:p>
          <w:p>
            <w:pPr>
              <w:autoSpaceDE w:val="0"/>
              <w:autoSpaceDN w:val="0"/>
              <w:adjustRightInd w:val="0"/>
              <w:spacing w:after="0" w:line="360" w:lineRule="auto"/>
              <w:ind w:left="360"/>
              <w:contextualSpacing/>
              <w:rPr>
                <w:rFonts w:ascii="Times New Roman" w:hAnsi="Times New Roman" w:eastAsia="Times New Roman" w:cs="Times New Roman"/>
                <w:color w:val="000000"/>
                <w:sz w:val="24"/>
                <w:szCs w:val="24"/>
                <w:lang w:eastAsia="ja-JP"/>
              </w:rPr>
            </w:pPr>
          </w:p>
        </w:tc>
        <w:tc>
          <w:tcPr>
            <w:tcW w:w="1006" w:type="dxa"/>
          </w:tcPr>
          <w:p>
            <w:pPr>
              <w:autoSpaceDE w:val="0"/>
              <w:autoSpaceDN w:val="0"/>
              <w:adjustRightInd w:val="0"/>
              <w:spacing w:after="0" w:line="360" w:lineRule="auto"/>
              <w:rPr>
                <w:rFonts w:ascii="Times New Roman" w:hAnsi="Times New Roman" w:eastAsia="MS Mincho" w:cs="Times New Roman"/>
                <w:sz w:val="24"/>
                <w:szCs w:val="24"/>
              </w:rPr>
            </w:pPr>
          </w:p>
        </w:tc>
        <w:tc>
          <w:tcPr>
            <w:tcW w:w="1154" w:type="dxa"/>
          </w:tcPr>
          <w:p>
            <w:pPr>
              <w:autoSpaceDE w:val="0"/>
              <w:autoSpaceDN w:val="0"/>
              <w:adjustRightInd w:val="0"/>
              <w:spacing w:after="0" w:line="360" w:lineRule="auto"/>
              <w:rPr>
                <w:rFonts w:ascii="Times New Roman" w:hAnsi="Times New Roman" w:eastAsia="MS Mincho" w:cs="Times New Roman"/>
                <w:sz w:val="24"/>
                <w:szCs w:val="24"/>
              </w:rPr>
            </w:pPr>
          </w:p>
        </w:tc>
      </w:tr>
    </w:tbl>
    <w:p>
      <w:pPr>
        <w:rPr>
          <w:rFonts w:ascii="Times New Roman" w:hAnsi="Times New Roman" w:cs="Times New Roman"/>
          <w:b/>
          <w:bCs/>
          <w:sz w:val="24"/>
          <w:szCs w:val="24"/>
        </w:rPr>
      </w:pPr>
    </w:p>
    <w:p>
      <w:pPr>
        <w:rPr>
          <w:rFonts w:ascii="Times New Roman" w:hAnsi="Times New Roman" w:cs="Times New Roman"/>
          <w:b/>
          <w:bCs/>
          <w:sz w:val="24"/>
          <w:szCs w:val="24"/>
        </w:rPr>
      </w:pPr>
    </w:p>
    <w:p>
      <w:pPr>
        <w:rPr>
          <w:rFonts w:ascii="Times New Roman" w:hAnsi="Times New Roman" w:cs="Times New Roman"/>
          <w:b/>
          <w:bCs/>
          <w:sz w:val="24"/>
          <w:szCs w:val="24"/>
        </w:rPr>
      </w:pPr>
    </w:p>
    <w:p>
      <w:pPr>
        <w:rPr>
          <w:rFonts w:ascii="Times New Roman" w:hAnsi="Times New Roman" w:cs="Times New Roman"/>
          <w:b/>
          <w:bCs/>
          <w:sz w:val="24"/>
          <w:szCs w:val="24"/>
        </w:rPr>
      </w:pPr>
    </w:p>
    <w:p>
      <w:pPr>
        <w:rPr>
          <w:rFonts w:ascii="Times New Roman" w:hAnsi="Times New Roman" w:cs="Times New Roman"/>
          <w:b/>
          <w:bCs/>
          <w:sz w:val="24"/>
          <w:szCs w:val="24"/>
        </w:rPr>
      </w:pPr>
    </w:p>
    <w:p>
      <w:pPr>
        <w:rPr>
          <w:rFonts w:ascii="Times New Roman" w:hAnsi="Times New Roman" w:cs="Times New Roman"/>
          <w:b/>
          <w:bCs/>
          <w:sz w:val="24"/>
          <w:szCs w:val="24"/>
        </w:rPr>
      </w:pPr>
    </w:p>
    <w:p>
      <w:pPr>
        <w:rPr>
          <w:rFonts w:ascii="Times New Roman" w:hAnsi="Times New Roman" w:cs="Times New Roman"/>
          <w:b/>
          <w:bCs/>
          <w:sz w:val="24"/>
          <w:szCs w:val="24"/>
        </w:rPr>
      </w:pPr>
      <w:r>
        <w:rPr>
          <w:rFonts w:ascii="Times New Roman" w:hAnsi="Times New Roman" w:cs="Times New Roman"/>
          <w:b/>
          <w:bCs/>
          <w:sz w:val="24"/>
          <w:szCs w:val="24"/>
        </w:rPr>
        <w:t>Appendix C. Pre and Posttest Results for Integration of the Pain Assessment Scale to the Nurses Knowledge, Attitude and Practice towards Post Operative Pain Management.</w:t>
      </w:r>
    </w:p>
    <w:tbl>
      <w:tblPr>
        <w:tblStyle w:val="7"/>
        <w:tblW w:w="8815" w:type="dxa"/>
        <w:tblInd w:w="0" w:type="dxa"/>
        <w:tblLayout w:type="autofit"/>
        <w:tblCellMar>
          <w:top w:w="0" w:type="dxa"/>
          <w:left w:w="108" w:type="dxa"/>
          <w:bottom w:w="0" w:type="dxa"/>
          <w:right w:w="108" w:type="dxa"/>
        </w:tblCellMar>
      </w:tblPr>
      <w:tblGrid>
        <w:gridCol w:w="1580"/>
        <w:gridCol w:w="1740"/>
        <w:gridCol w:w="1740"/>
        <w:gridCol w:w="1520"/>
        <w:gridCol w:w="2235"/>
      </w:tblGrid>
      <w:tr>
        <w:tblPrEx>
          <w:tblCellMar>
            <w:top w:w="0" w:type="dxa"/>
            <w:left w:w="108" w:type="dxa"/>
            <w:bottom w:w="0" w:type="dxa"/>
            <w:right w:w="108" w:type="dxa"/>
          </w:tblCellMar>
        </w:tblPrEx>
        <w:trPr>
          <w:trHeight w:val="936" w:hRule="atLeast"/>
        </w:trPr>
        <w:tc>
          <w:tcPr>
            <w:tcW w:w="1580"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Respondents</w:t>
            </w:r>
          </w:p>
        </w:tc>
        <w:tc>
          <w:tcPr>
            <w:tcW w:w="1740" w:type="dxa"/>
            <w:tcBorders>
              <w:top w:val="single" w:color="auto" w:sz="4" w:space="0"/>
              <w:left w:val="nil"/>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 xml:space="preserve">Pretest knowledge total </w:t>
            </w:r>
          </w:p>
        </w:tc>
        <w:tc>
          <w:tcPr>
            <w:tcW w:w="1740" w:type="dxa"/>
            <w:tcBorders>
              <w:top w:val="single" w:color="auto" w:sz="4" w:space="0"/>
              <w:left w:val="nil"/>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Posttest knowledge totals</w:t>
            </w:r>
          </w:p>
        </w:tc>
        <w:tc>
          <w:tcPr>
            <w:tcW w:w="1520" w:type="dxa"/>
            <w:tcBorders>
              <w:top w:val="single" w:color="auto" w:sz="4" w:space="0"/>
              <w:left w:val="nil"/>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Pretest attitude total</w:t>
            </w:r>
          </w:p>
        </w:tc>
        <w:tc>
          <w:tcPr>
            <w:tcW w:w="2235" w:type="dxa"/>
            <w:tcBorders>
              <w:top w:val="single" w:color="auto" w:sz="4" w:space="0"/>
              <w:left w:val="nil"/>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Posttest attitude total</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57</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57</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57</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73</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47</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47</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11</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12</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13</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14</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16</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17</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18</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19</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73</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21</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22</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23</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83</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24</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26</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27</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73</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28</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29</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48</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73</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c>
          <w:tcPr>
            <w:tcW w:w="223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73</w:t>
            </w:r>
          </w:p>
        </w:tc>
      </w:tr>
    </w:tbl>
    <w:p>
      <w:pPr>
        <w:pStyle w:val="9"/>
        <w:keepNext/>
        <w:rPr>
          <w:rFonts w:ascii="Times New Roman" w:hAnsi="Times New Roman" w:cs="Times New Roman"/>
          <w:b/>
          <w:bCs/>
          <w:sz w:val="24"/>
          <w:szCs w:val="24"/>
        </w:rPr>
      </w:pPr>
    </w:p>
    <w:p>
      <w:pPr>
        <w:rPr>
          <w:rFonts w:ascii="Times New Roman" w:hAnsi="Times New Roman" w:cs="Times New Roman"/>
          <w:sz w:val="24"/>
          <w:szCs w:val="24"/>
        </w:rPr>
      </w:pPr>
    </w:p>
    <w:p>
      <w:pPr>
        <w:rPr>
          <w:rFonts w:ascii="Times New Roman" w:hAnsi="Times New Roman" w:cs="Times New Roman"/>
          <w:sz w:val="24"/>
          <w:szCs w:val="24"/>
        </w:rPr>
      </w:pPr>
    </w:p>
    <w:p>
      <w:pPr>
        <w:rPr>
          <w:rFonts w:ascii="Times New Roman" w:hAnsi="Times New Roman" w:cs="Times New Roman"/>
          <w:b/>
          <w:bCs/>
          <w:sz w:val="24"/>
          <w:szCs w:val="24"/>
        </w:rPr>
      </w:pPr>
      <w:r>
        <w:rPr>
          <w:rFonts w:ascii="Times New Roman" w:hAnsi="Times New Roman" w:cs="Times New Roman"/>
          <w:b/>
          <w:bCs/>
          <w:sz w:val="24"/>
          <w:szCs w:val="24"/>
        </w:rPr>
        <w:t>Appendix C. Pre and Posttest Results for Integration of the Pain Assessment Scale to the Nurses Knowledge, Attitude and Practice towards Post Operative Pain Management.</w:t>
      </w:r>
    </w:p>
    <w:tbl>
      <w:tblPr>
        <w:tblStyle w:val="7"/>
        <w:tblW w:w="8635" w:type="dxa"/>
        <w:tblInd w:w="0" w:type="dxa"/>
        <w:tblLayout w:type="autofit"/>
        <w:tblCellMar>
          <w:top w:w="0" w:type="dxa"/>
          <w:left w:w="108" w:type="dxa"/>
          <w:bottom w:w="0" w:type="dxa"/>
          <w:right w:w="108" w:type="dxa"/>
        </w:tblCellMar>
      </w:tblPr>
      <w:tblGrid>
        <w:gridCol w:w="1580"/>
        <w:gridCol w:w="1740"/>
        <w:gridCol w:w="1740"/>
        <w:gridCol w:w="1520"/>
        <w:gridCol w:w="2055"/>
      </w:tblGrid>
      <w:tr>
        <w:tblPrEx>
          <w:tblCellMar>
            <w:top w:w="0" w:type="dxa"/>
            <w:left w:w="108" w:type="dxa"/>
            <w:bottom w:w="0" w:type="dxa"/>
            <w:right w:w="108" w:type="dxa"/>
          </w:tblCellMar>
        </w:tblPrEx>
        <w:trPr>
          <w:trHeight w:val="936" w:hRule="atLeast"/>
        </w:trPr>
        <w:tc>
          <w:tcPr>
            <w:tcW w:w="1580"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Respondents</w:t>
            </w:r>
          </w:p>
        </w:tc>
        <w:tc>
          <w:tcPr>
            <w:tcW w:w="1740" w:type="dxa"/>
            <w:tcBorders>
              <w:top w:val="single" w:color="auto" w:sz="4" w:space="0"/>
              <w:left w:val="nil"/>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 xml:space="preserve">Pretest knowledge total </w:t>
            </w:r>
          </w:p>
        </w:tc>
        <w:tc>
          <w:tcPr>
            <w:tcW w:w="1740" w:type="dxa"/>
            <w:tcBorders>
              <w:top w:val="single" w:color="auto" w:sz="4" w:space="0"/>
              <w:left w:val="nil"/>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Posttest knowledge totals</w:t>
            </w:r>
          </w:p>
        </w:tc>
        <w:tc>
          <w:tcPr>
            <w:tcW w:w="1520" w:type="dxa"/>
            <w:tcBorders>
              <w:top w:val="single" w:color="auto" w:sz="4" w:space="0"/>
              <w:left w:val="nil"/>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Pretest attitude total</w:t>
            </w:r>
          </w:p>
        </w:tc>
        <w:tc>
          <w:tcPr>
            <w:tcW w:w="2055" w:type="dxa"/>
            <w:tcBorders>
              <w:top w:val="single" w:color="auto" w:sz="4" w:space="0"/>
              <w:left w:val="nil"/>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b/>
                <w:bCs/>
                <w:color w:val="000000"/>
                <w:sz w:val="24"/>
                <w:szCs w:val="24"/>
              </w:rPr>
            </w:pPr>
            <w:r>
              <w:rPr>
                <w:rFonts w:ascii="Times New Roman" w:hAnsi="Times New Roman" w:eastAsia="Times New Roman" w:cs="Times New Roman"/>
                <w:b/>
                <w:bCs/>
                <w:color w:val="000000"/>
                <w:sz w:val="24"/>
                <w:szCs w:val="24"/>
              </w:rPr>
              <w:t>Posttest attitude total</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31</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32</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33</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34</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36</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37</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58</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38</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39</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41</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42</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43</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44</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46</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72</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47</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52</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48</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72</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49</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57</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51</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90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68</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52</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53</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57</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54</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63</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78</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56</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58</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57</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62</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73</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58</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80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59</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70</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48</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67</w:t>
            </w:r>
          </w:p>
        </w:tc>
      </w:tr>
      <w:tr>
        <w:tblPrEx>
          <w:tblCellMar>
            <w:top w:w="0" w:type="dxa"/>
            <w:left w:w="108" w:type="dxa"/>
            <w:bottom w:w="0" w:type="dxa"/>
            <w:right w:w="108" w:type="dxa"/>
          </w:tblCellMar>
        </w:tblPrEx>
        <w:trPr>
          <w:trHeight w:val="312" w:hRule="atLeast"/>
        </w:trPr>
        <w:tc>
          <w:tcPr>
            <w:tcW w:w="1580" w:type="dxa"/>
            <w:tcBorders>
              <w:top w:val="nil"/>
              <w:left w:val="single" w:color="auto" w:sz="4" w:space="0"/>
              <w:bottom w:val="single" w:color="auto" w:sz="4" w:space="0"/>
              <w:right w:val="single" w:color="auto" w:sz="4" w:space="0"/>
            </w:tcBorders>
            <w:shd w:val="clear" w:color="auto" w:fill="auto"/>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60</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55</w:t>
            </w:r>
          </w:p>
        </w:tc>
        <w:tc>
          <w:tcPr>
            <w:tcW w:w="174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c>
          <w:tcPr>
            <w:tcW w:w="1520"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58</w:t>
            </w:r>
          </w:p>
        </w:tc>
        <w:tc>
          <w:tcPr>
            <w:tcW w:w="2055" w:type="dxa"/>
            <w:tcBorders>
              <w:top w:val="nil"/>
              <w:left w:val="nil"/>
              <w:bottom w:val="single" w:color="auto" w:sz="4" w:space="0"/>
              <w:right w:val="single" w:color="auto" w:sz="4" w:space="0"/>
            </w:tcBorders>
            <w:shd w:val="clear" w:color="auto" w:fill="auto"/>
            <w:noWrap/>
            <w:vAlign w:val="center"/>
          </w:tcPr>
          <w:p>
            <w:pPr>
              <w:spacing w:after="0" w:line="240" w:lineRule="auto"/>
              <w:jc w:val="center"/>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75</w:t>
            </w:r>
          </w:p>
        </w:tc>
      </w:tr>
    </w:tbl>
    <w:p>
      <w:pPr>
        <w:rPr>
          <w:rFonts w:ascii="Times New Roman" w:hAnsi="Times New Roman" w:cs="Times New Roman"/>
          <w:sz w:val="24"/>
          <w:szCs w:val="24"/>
        </w:rPr>
      </w:pPr>
    </w:p>
    <w:p>
      <w:pPr>
        <w:spacing w:line="256" w:lineRule="auto"/>
        <w:rPr>
          <w:rFonts w:ascii="Times New Roman" w:hAnsi="Times New Roman" w:eastAsia="MS Mincho" w:cs="Times New Roman"/>
          <w:sz w:val="24"/>
          <w:szCs w:val="24"/>
          <w:lang w:eastAsia="ja-JP"/>
        </w:rPr>
      </w:pPr>
    </w:p>
    <w:p>
      <w:pPr>
        <w:spacing w:line="256" w:lineRule="auto"/>
        <w:rPr>
          <w:rFonts w:ascii="Times New Roman" w:hAnsi="Times New Roman" w:eastAsia="MS Mincho" w:cs="Times New Roman"/>
          <w:sz w:val="24"/>
          <w:szCs w:val="24"/>
          <w:lang w:eastAsia="ja-JP"/>
        </w:rPr>
      </w:pPr>
    </w:p>
    <w:p>
      <w:pPr>
        <w:pStyle w:val="3"/>
        <w:rPr>
          <w:rFonts w:ascii="Times New Roman" w:hAnsi="Times New Roman" w:cs="Times New Roman"/>
          <w:b w:val="0"/>
          <w:sz w:val="24"/>
          <w:szCs w:val="24"/>
          <w:lang w:eastAsia="ja-JP"/>
        </w:rPr>
      </w:pPr>
      <w:bookmarkStart w:id="267" w:name="_Toc142753443"/>
      <w:r>
        <w:rPr>
          <w:rFonts w:ascii="Times New Roman" w:hAnsi="Times New Roman" w:cs="Times New Roman"/>
          <w:sz w:val="24"/>
          <w:szCs w:val="24"/>
          <w:lang w:eastAsia="ja-JP"/>
        </w:rPr>
        <w:t>Glossary of Terms and Acronyms</w:t>
      </w:r>
      <w:bookmarkEnd w:id="267"/>
    </w:p>
    <w:p>
      <w:pPr>
        <w:spacing w:line="256" w:lineRule="auto"/>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PAS – Pain Assessment</w:t>
      </w:r>
    </w:p>
    <w:p>
      <w:pPr>
        <w:spacing w:line="256" w:lineRule="auto"/>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POP - Postoperative pain management</w:t>
      </w:r>
    </w:p>
    <w:p>
      <w:pPr>
        <w:spacing w:line="256" w:lineRule="auto"/>
        <w:rPr>
          <w:rFonts w:ascii="Times New Roman" w:hAnsi="Times New Roman" w:eastAsia="MS Mincho" w:cs="Times New Roman"/>
          <w:sz w:val="24"/>
          <w:szCs w:val="24"/>
          <w:lang w:eastAsia="ja-JP"/>
        </w:rPr>
      </w:pPr>
      <w:r>
        <w:rPr>
          <w:rFonts w:ascii="Times New Roman" w:hAnsi="Times New Roman" w:eastAsia="MS Mincho" w:cs="Times New Roman"/>
          <w:sz w:val="24"/>
          <w:szCs w:val="24"/>
          <w:lang w:eastAsia="ja-JP"/>
        </w:rPr>
        <w:t xml:space="preserve">NRS- Numerical Rating Scale </w:t>
      </w:r>
    </w:p>
    <w:p>
      <w:pPr>
        <w:spacing w:line="256" w:lineRule="auto"/>
        <w:rPr>
          <w:rFonts w:ascii="Times New Roman" w:hAnsi="Times New Roman" w:eastAsia="MS Mincho" w:cs="Times New Roman"/>
          <w:sz w:val="24"/>
          <w:szCs w:val="24"/>
          <w:lang w:eastAsia="ja-JP"/>
        </w:rPr>
      </w:pPr>
    </w:p>
    <w:p>
      <w:pPr>
        <w:spacing w:line="256" w:lineRule="auto"/>
        <w:rPr>
          <w:rFonts w:ascii="Times New Roman" w:hAnsi="Times New Roman" w:eastAsia="MS Mincho" w:cs="Times New Roman"/>
          <w:sz w:val="24"/>
          <w:szCs w:val="24"/>
          <w:lang w:eastAsia="ja-JP"/>
        </w:rPr>
      </w:pPr>
    </w:p>
    <w:p>
      <w:pPr>
        <w:spacing w:line="256" w:lineRule="auto"/>
        <w:rPr>
          <w:rFonts w:ascii="Times New Roman" w:hAnsi="Times New Roman" w:eastAsia="MS Mincho" w:cs="Times New Roman"/>
          <w:sz w:val="24"/>
          <w:szCs w:val="24"/>
          <w:lang w:eastAsia="ja-JP"/>
        </w:rPr>
      </w:pPr>
    </w:p>
    <w:sectPr>
      <w:footerReference r:id="rId11"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egoe UI">
    <w:panose1 w:val="020B0502040204020203"/>
    <w:charset w:val="00"/>
    <w:family w:val="swiss"/>
    <w:pitch w:val="default"/>
    <w:sig w:usb0="E4002EFF" w:usb1="C000E47F" w:usb2="00000009" w:usb3="00000000" w:csb0="200001FF" w:csb1="00000000"/>
  </w:font>
  <w:font w:name="MS Mincho">
    <w:altName w:val="Yu Gothic UI"/>
    <w:panose1 w:val="02020609040205080304"/>
    <w:charset w:val="80"/>
    <w:family w:val="modern"/>
    <w:pitch w:val="default"/>
    <w:sig w:usb0="00000000" w:usb1="00000000" w:usb2="08000012" w:usb3="00000000" w:csb0="0002009F" w:csb1="00000000"/>
  </w:font>
  <w:font w:name="AdvTT5235d5a9">
    <w:altName w:val="Times New Roman"/>
    <w:panose1 w:val="00000000000000000000"/>
    <w:charset w:val="00"/>
    <w:family w:val="roman"/>
    <w:pitch w:val="default"/>
    <w:sig w:usb0="00000000" w:usb1="00000000" w:usb2="00000000" w:usb3="00000000" w:csb0="00000000" w:csb1="00000000"/>
  </w:font>
  <w:font w:name="Cambria Math">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 w:name="Yu Gothic UI">
    <w:panose1 w:val="020B0500000000000000"/>
    <w:charset w:val="80"/>
    <w:family w:val="auto"/>
    <w:pitch w:val="default"/>
    <w:sig w:usb0="E00002FF" w:usb1="2AC7FDFF" w:usb2="00000016" w:usb3="00000000" w:csb0="2002009F" w:csb1="00000000"/>
  </w:font>
  <w:font w:name="等线">
    <w:altName w:val="Microsoft YaHei"/>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64199162"/>
      <w:docPartObj>
        <w:docPartGallery w:val="autotext"/>
      </w:docPartObj>
    </w:sdtPr>
    <w:sdtContent>
      <w:p>
        <w:pPr>
          <w:pStyle w:val="14"/>
          <w:jc w:val="center"/>
        </w:pPr>
        <w:r>
          <w:fldChar w:fldCharType="begin"/>
        </w:r>
        <w:r>
          <w:instrText xml:space="preserve"> PAGE   \* MERGEFORMAT </w:instrText>
        </w:r>
        <w:r>
          <w:fldChar w:fldCharType="separate"/>
        </w:r>
        <w:r>
          <w:t>21</w:t>
        </w:r>
        <w:r>
          <w:fldChar w:fldCharType="end"/>
        </w:r>
      </w:p>
    </w:sdtContent>
  </w:sdt>
  <w:p>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54742305"/>
      <w:docPartObj>
        <w:docPartGallery w:val="autotext"/>
      </w:docPartObj>
    </w:sdtPr>
    <w:sdtContent>
      <w:p>
        <w:pPr>
          <w:pStyle w:val="14"/>
          <w:jc w:val="center"/>
        </w:pPr>
        <w:r>
          <w:fldChar w:fldCharType="begin"/>
        </w:r>
        <w:r>
          <w:instrText xml:space="preserve"> PAGE   \* MERGEFORMAT </w:instrText>
        </w:r>
        <w:r>
          <w:fldChar w:fldCharType="separate"/>
        </w:r>
        <w:r>
          <w:t>1</w:t>
        </w:r>
        <w:r>
          <w:fldChar w:fldCharType="end"/>
        </w:r>
      </w:p>
    </w:sdtContent>
  </w:sdt>
  <w:p>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autoSpaceDE w:val="0"/>
      <w:autoSpaceDN w:val="0"/>
      <w:adjustRightInd w:val="0"/>
      <w:spacing w:after="0" w:line="200" w:lineRule="exact"/>
      <w:rPr>
        <w:rFonts w:ascii="Times New Roman" w:hAnsi="Times New Roman"/>
        <w:sz w:val="20"/>
        <w:szCs w:val="20"/>
      </w:rPr>
    </w:pPr>
    <w:r>
      <mc:AlternateContent>
        <mc:Choice Requires="wps">
          <w:drawing>
            <wp:anchor distT="0" distB="0" distL="114300" distR="114300" simplePos="0" relativeHeight="251660288" behindDoc="1" locked="0" layoutInCell="0" allowOverlap="1">
              <wp:simplePos x="0" y="0"/>
              <wp:positionH relativeFrom="page">
                <wp:posOffset>3789680</wp:posOffset>
              </wp:positionH>
              <wp:positionV relativeFrom="page">
                <wp:posOffset>9274175</wp:posOffset>
              </wp:positionV>
              <wp:extent cx="194310" cy="165735"/>
              <wp:effectExtent l="0" t="0" r="0" b="0"/>
              <wp:wrapNone/>
              <wp:docPr id="25" name="Text Box 25"/>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wps:spPr>
                    <wps:txbx>
                      <w:txbxContent>
                        <w:p>
                          <w:pPr>
                            <w:widowControl w:val="0"/>
                            <w:autoSpaceDE w:val="0"/>
                            <w:autoSpaceDN w:val="0"/>
                            <w:adjustRightInd w:val="0"/>
                            <w:spacing w:after="0" w:line="245" w:lineRule="exact"/>
                            <w:ind w:left="40"/>
                            <w:rPr>
                              <w:rFonts w:cs="Calibri"/>
                            </w:rPr>
                          </w:pPr>
                          <w:r>
                            <w:rPr>
                              <w:rFonts w:cs="Calibri"/>
                              <w:position w:val="1"/>
                            </w:rPr>
                            <w:fldChar w:fldCharType="begin"/>
                          </w:r>
                          <w:r>
                            <w:rPr>
                              <w:rFonts w:cs="Calibri"/>
                              <w:position w:val="1"/>
                            </w:rPr>
                            <w:instrText xml:space="preserve"> PAGE </w:instrText>
                          </w:r>
                          <w:r>
                            <w:rPr>
                              <w:rFonts w:cs="Calibri"/>
                              <w:position w:val="1"/>
                            </w:rPr>
                            <w:fldChar w:fldCharType="separate"/>
                          </w:r>
                          <w:r>
                            <w:rPr>
                              <w:rFonts w:cs="Calibri"/>
                              <w:position w:val="1"/>
                            </w:rPr>
                            <w:t>91</w:t>
                          </w:r>
                          <w:r>
                            <w:rPr>
                              <w:rFonts w:cs="Calibri"/>
                              <w:position w:val="1"/>
                            </w:rPr>
                            <w:fldChar w:fldCharType="end"/>
                          </w: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298.4pt;margin-top:730.25pt;height:13.05pt;width:15.3pt;mso-position-horizontal-relative:page;mso-position-vertical-relative:page;z-index:-251656192;mso-width-relative:page;mso-height-relative:page;" filled="f" stroked="f" coordsize="21600,21600" o:allowincell="f" o:gfxdata="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NrxzV2wAAAA0BAAAPAAAAAAAAAAEAIAAAACIAAABkcnMvZG93&#10;bnJldi54bWxQSwECFAAUAAAACACHTuJAHeP1nP0BAAAFBAAADgAAAAAAAAABACAAAAAqAQAAZHJz&#10;L2Uyb0RvYy54bWxQSwUGAAAAAAYABgBZAQAAmQUAAAAA&#10;">
              <v:fill on="f" focussize="0,0"/>
              <v:stroke on="f"/>
              <v:imagedata o:title=""/>
              <o:lock v:ext="edit" aspectratio="f"/>
              <v:textbox inset="0mm,0mm,0mm,0mm">
                <w:txbxContent>
                  <w:p>
                    <w:pPr>
                      <w:widowControl w:val="0"/>
                      <w:autoSpaceDE w:val="0"/>
                      <w:autoSpaceDN w:val="0"/>
                      <w:adjustRightInd w:val="0"/>
                      <w:spacing w:after="0" w:line="245" w:lineRule="exact"/>
                      <w:ind w:left="40"/>
                      <w:rPr>
                        <w:rFonts w:cs="Calibri"/>
                      </w:rPr>
                    </w:pPr>
                    <w:r>
                      <w:rPr>
                        <w:rFonts w:cs="Calibri"/>
                        <w:position w:val="1"/>
                      </w:rPr>
                      <w:fldChar w:fldCharType="begin"/>
                    </w:r>
                    <w:r>
                      <w:rPr>
                        <w:rFonts w:cs="Calibri"/>
                        <w:position w:val="1"/>
                      </w:rPr>
                      <w:instrText xml:space="preserve"> PAGE </w:instrText>
                    </w:r>
                    <w:r>
                      <w:rPr>
                        <w:rFonts w:cs="Calibri"/>
                        <w:position w:val="1"/>
                      </w:rPr>
                      <w:fldChar w:fldCharType="separate"/>
                    </w:r>
                    <w:r>
                      <w:rPr>
                        <w:rFonts w:cs="Calibri"/>
                        <w:position w:val="1"/>
                      </w:rPr>
                      <w:t>91</w:t>
                    </w:r>
                    <w:r>
                      <w:rPr>
                        <w:rFonts w:cs="Calibri"/>
                        <w:position w:val="1"/>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3A673D"/>
    <w:multiLevelType w:val="multilevel"/>
    <w:tmpl w:val="213A673D"/>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2E826D70"/>
    <w:multiLevelType w:val="multilevel"/>
    <w:tmpl w:val="2E826D70"/>
    <w:lvl w:ilvl="0" w:tentative="0">
      <w:start w:val="2"/>
      <w:numFmt w:val="decimal"/>
      <w:lvlText w:val="%1"/>
      <w:lvlJc w:val="left"/>
      <w:pPr>
        <w:ind w:left="420" w:hanging="420"/>
      </w:pPr>
      <w:rPr>
        <w:rFonts w:hint="default"/>
      </w:rPr>
    </w:lvl>
    <w:lvl w:ilvl="1" w:tentative="0">
      <w:start w:val="57"/>
      <w:numFmt w:val="decimal"/>
      <w:lvlText w:val="%1.%2"/>
      <w:lvlJc w:val="left"/>
      <w:pPr>
        <w:ind w:left="420" w:hanging="4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440" w:hanging="1440"/>
      </w:pPr>
      <w:rPr>
        <w:rFonts w:hint="default"/>
      </w:rPr>
    </w:lvl>
  </w:abstractNum>
  <w:abstractNum w:abstractNumId="2">
    <w:nsid w:val="34DE7594"/>
    <w:multiLevelType w:val="multilevel"/>
    <w:tmpl w:val="34DE7594"/>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359837D5"/>
    <w:multiLevelType w:val="multilevel"/>
    <w:tmpl w:val="359837D5"/>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379872AB"/>
    <w:multiLevelType w:val="multilevel"/>
    <w:tmpl w:val="379872A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3DE83F25"/>
    <w:multiLevelType w:val="multilevel"/>
    <w:tmpl w:val="3DE83F25"/>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40C0394D"/>
    <w:multiLevelType w:val="multilevel"/>
    <w:tmpl w:val="40C0394D"/>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7">
    <w:nsid w:val="41B03A31"/>
    <w:multiLevelType w:val="multilevel"/>
    <w:tmpl w:val="41B03A31"/>
    <w:lvl w:ilvl="0" w:tentative="0">
      <w:start w:val="1"/>
      <w:numFmt w:val="decimal"/>
      <w:lvlText w:val="%1."/>
      <w:lvlJc w:val="lef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8">
    <w:nsid w:val="43D7540C"/>
    <w:multiLevelType w:val="multilevel"/>
    <w:tmpl w:val="43D7540C"/>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9">
    <w:nsid w:val="45737E01"/>
    <w:multiLevelType w:val="multilevel"/>
    <w:tmpl w:val="45737E01"/>
    <w:lvl w:ilvl="0" w:tentative="0">
      <w:start w:val="1"/>
      <w:numFmt w:val="lowerLetter"/>
      <w:lvlText w:val="%1."/>
      <w:lvlJc w:val="left"/>
      <w:pPr>
        <w:ind w:left="2160" w:hanging="360"/>
      </w:pPr>
    </w:lvl>
    <w:lvl w:ilvl="1" w:tentative="0">
      <w:start w:val="1"/>
      <w:numFmt w:val="lowerLetter"/>
      <w:lvlText w:val="%2."/>
      <w:lvlJc w:val="left"/>
      <w:pPr>
        <w:ind w:left="2880" w:hanging="360"/>
      </w:p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10">
    <w:nsid w:val="46515B85"/>
    <w:multiLevelType w:val="multilevel"/>
    <w:tmpl w:val="46515B85"/>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54D12CCD"/>
    <w:multiLevelType w:val="multilevel"/>
    <w:tmpl w:val="54D12CCD"/>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2">
    <w:nsid w:val="5ACA3A28"/>
    <w:multiLevelType w:val="multilevel"/>
    <w:tmpl w:val="5ACA3A28"/>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3">
    <w:nsid w:val="5C916724"/>
    <w:multiLevelType w:val="multilevel"/>
    <w:tmpl w:val="5C916724"/>
    <w:lvl w:ilvl="0" w:tentative="0">
      <w:start w:val="1"/>
      <w:numFmt w:val="decimal"/>
      <w:lvlText w:val="%1."/>
      <w:lvlJc w:val="left"/>
      <w:pPr>
        <w:ind w:left="720" w:hanging="360"/>
      </w:pPr>
      <w:rPr>
        <w:rFonts w:hint="default"/>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4">
    <w:nsid w:val="5CE452B3"/>
    <w:multiLevelType w:val="multilevel"/>
    <w:tmpl w:val="5CE452B3"/>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5">
    <w:nsid w:val="704A0BDC"/>
    <w:multiLevelType w:val="multilevel"/>
    <w:tmpl w:val="704A0BDC"/>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6">
    <w:nsid w:val="744265F9"/>
    <w:multiLevelType w:val="multilevel"/>
    <w:tmpl w:val="744265F9"/>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8"/>
  </w:num>
  <w:num w:numId="3">
    <w:abstractNumId w:val="16"/>
  </w:num>
  <w:num w:numId="4">
    <w:abstractNumId w:val="4"/>
  </w:num>
  <w:num w:numId="5">
    <w:abstractNumId w:val="10"/>
  </w:num>
  <w:num w:numId="6">
    <w:abstractNumId w:val="14"/>
  </w:num>
  <w:num w:numId="7">
    <w:abstractNumId w:val="2"/>
  </w:num>
  <w:num w:numId="8">
    <w:abstractNumId w:val="1"/>
  </w:num>
  <w:num w:numId="9">
    <w:abstractNumId w:val="5"/>
  </w:num>
  <w:num w:numId="10">
    <w:abstractNumId w:val="3"/>
  </w:num>
  <w:num w:numId="11">
    <w:abstractNumId w:val="11"/>
  </w:num>
  <w:num w:numId="12">
    <w:abstractNumId w:val="15"/>
  </w:num>
  <w:num w:numId="13">
    <w:abstractNumId w:val="7"/>
  </w:num>
  <w:num w:numId="14">
    <w:abstractNumId w:val="9"/>
  </w:num>
  <w:num w:numId="15">
    <w:abstractNumId w:val="6"/>
  </w:num>
  <w:num w:numId="16">
    <w:abstractNumId w:val="13"/>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MGQktzQ0tzSxMTQyUdpeDU4uLM/DyQAiPDWgCbXMenLQAAAA=="/>
    <w:docVar w:name="EN.InstantFormat" w:val="&lt;ENInstantFormat&gt;&lt;Enabled&gt;1&lt;/Enabled&gt;&lt;ScanUnformatted&gt;1&lt;/ScanUnformatted&gt;&lt;ScanChanges&gt;1&lt;/ScanChanges&gt;&lt;Suspended&gt;0&lt;/Suspended&gt;&lt;/ENInstantFormat&gt;"/>
    <w:docVar w:name="EN.Layout" w:val="&lt;ENLayout&gt;&lt;Style&gt;Annota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s>
  <w:rsids>
    <w:rsidRoot w:val="001C2920"/>
    <w:rsid w:val="000005D0"/>
    <w:rsid w:val="00000608"/>
    <w:rsid w:val="00000E38"/>
    <w:rsid w:val="00000FED"/>
    <w:rsid w:val="000040B5"/>
    <w:rsid w:val="0000597A"/>
    <w:rsid w:val="00007043"/>
    <w:rsid w:val="00007D03"/>
    <w:rsid w:val="00010878"/>
    <w:rsid w:val="00010988"/>
    <w:rsid w:val="00011607"/>
    <w:rsid w:val="00013078"/>
    <w:rsid w:val="000133B9"/>
    <w:rsid w:val="00013E46"/>
    <w:rsid w:val="00014C5D"/>
    <w:rsid w:val="00016613"/>
    <w:rsid w:val="0001694E"/>
    <w:rsid w:val="00016EB2"/>
    <w:rsid w:val="00016FFD"/>
    <w:rsid w:val="0001746E"/>
    <w:rsid w:val="000174E8"/>
    <w:rsid w:val="00017D90"/>
    <w:rsid w:val="00017FEE"/>
    <w:rsid w:val="00020711"/>
    <w:rsid w:val="00021D2C"/>
    <w:rsid w:val="0002218D"/>
    <w:rsid w:val="0002272D"/>
    <w:rsid w:val="00022EF1"/>
    <w:rsid w:val="000261AB"/>
    <w:rsid w:val="00026A68"/>
    <w:rsid w:val="00026B03"/>
    <w:rsid w:val="00027027"/>
    <w:rsid w:val="00027F3C"/>
    <w:rsid w:val="0003051D"/>
    <w:rsid w:val="00030CBB"/>
    <w:rsid w:val="00030E86"/>
    <w:rsid w:val="00034A92"/>
    <w:rsid w:val="00036FFD"/>
    <w:rsid w:val="0003764F"/>
    <w:rsid w:val="00037D53"/>
    <w:rsid w:val="00040824"/>
    <w:rsid w:val="00041425"/>
    <w:rsid w:val="0004193B"/>
    <w:rsid w:val="00041B2A"/>
    <w:rsid w:val="000438F7"/>
    <w:rsid w:val="00043BCD"/>
    <w:rsid w:val="000441EB"/>
    <w:rsid w:val="0004679B"/>
    <w:rsid w:val="00046D58"/>
    <w:rsid w:val="000502E2"/>
    <w:rsid w:val="000513A0"/>
    <w:rsid w:val="00052F71"/>
    <w:rsid w:val="000553C1"/>
    <w:rsid w:val="000560BB"/>
    <w:rsid w:val="0005729F"/>
    <w:rsid w:val="00057A27"/>
    <w:rsid w:val="00057BD8"/>
    <w:rsid w:val="00061659"/>
    <w:rsid w:val="00062350"/>
    <w:rsid w:val="0006251A"/>
    <w:rsid w:val="00062E50"/>
    <w:rsid w:val="00065224"/>
    <w:rsid w:val="00065D3D"/>
    <w:rsid w:val="000660B1"/>
    <w:rsid w:val="0006751A"/>
    <w:rsid w:val="00067BBD"/>
    <w:rsid w:val="000702C9"/>
    <w:rsid w:val="0007032A"/>
    <w:rsid w:val="0007238B"/>
    <w:rsid w:val="00073794"/>
    <w:rsid w:val="00074A80"/>
    <w:rsid w:val="00081381"/>
    <w:rsid w:val="0008202D"/>
    <w:rsid w:val="000820D4"/>
    <w:rsid w:val="00082161"/>
    <w:rsid w:val="00082EA2"/>
    <w:rsid w:val="000838BC"/>
    <w:rsid w:val="00083C58"/>
    <w:rsid w:val="00083F5F"/>
    <w:rsid w:val="000846C3"/>
    <w:rsid w:val="00084D99"/>
    <w:rsid w:val="00085073"/>
    <w:rsid w:val="000859D5"/>
    <w:rsid w:val="00085AFB"/>
    <w:rsid w:val="00085D2D"/>
    <w:rsid w:val="00086353"/>
    <w:rsid w:val="00086647"/>
    <w:rsid w:val="00086D3B"/>
    <w:rsid w:val="00087E98"/>
    <w:rsid w:val="00090F39"/>
    <w:rsid w:val="00091117"/>
    <w:rsid w:val="0009197B"/>
    <w:rsid w:val="00091B1B"/>
    <w:rsid w:val="00092228"/>
    <w:rsid w:val="000940CD"/>
    <w:rsid w:val="000943B5"/>
    <w:rsid w:val="000957EE"/>
    <w:rsid w:val="000957F7"/>
    <w:rsid w:val="00095EBA"/>
    <w:rsid w:val="00096536"/>
    <w:rsid w:val="00096ECC"/>
    <w:rsid w:val="000971B5"/>
    <w:rsid w:val="00097EE1"/>
    <w:rsid w:val="000A0E0B"/>
    <w:rsid w:val="000A2544"/>
    <w:rsid w:val="000A5123"/>
    <w:rsid w:val="000A5F11"/>
    <w:rsid w:val="000A6087"/>
    <w:rsid w:val="000A6B82"/>
    <w:rsid w:val="000A6D31"/>
    <w:rsid w:val="000A743C"/>
    <w:rsid w:val="000B0B94"/>
    <w:rsid w:val="000B0F43"/>
    <w:rsid w:val="000B1728"/>
    <w:rsid w:val="000B2044"/>
    <w:rsid w:val="000B4424"/>
    <w:rsid w:val="000B45E4"/>
    <w:rsid w:val="000B4C30"/>
    <w:rsid w:val="000B58C7"/>
    <w:rsid w:val="000B5F73"/>
    <w:rsid w:val="000B66ED"/>
    <w:rsid w:val="000B7667"/>
    <w:rsid w:val="000C0F84"/>
    <w:rsid w:val="000C1596"/>
    <w:rsid w:val="000C21BE"/>
    <w:rsid w:val="000C267F"/>
    <w:rsid w:val="000C34F3"/>
    <w:rsid w:val="000C3CFC"/>
    <w:rsid w:val="000C4723"/>
    <w:rsid w:val="000C5828"/>
    <w:rsid w:val="000C5F5D"/>
    <w:rsid w:val="000C6853"/>
    <w:rsid w:val="000C7B64"/>
    <w:rsid w:val="000D1265"/>
    <w:rsid w:val="000D270E"/>
    <w:rsid w:val="000D297C"/>
    <w:rsid w:val="000D29B0"/>
    <w:rsid w:val="000D2DBF"/>
    <w:rsid w:val="000D417C"/>
    <w:rsid w:val="000D4A84"/>
    <w:rsid w:val="000D5E92"/>
    <w:rsid w:val="000D5F28"/>
    <w:rsid w:val="000D6146"/>
    <w:rsid w:val="000D6959"/>
    <w:rsid w:val="000D7796"/>
    <w:rsid w:val="000E038A"/>
    <w:rsid w:val="000E0453"/>
    <w:rsid w:val="000E0BBC"/>
    <w:rsid w:val="000E0ED2"/>
    <w:rsid w:val="000E2465"/>
    <w:rsid w:val="000E2FF0"/>
    <w:rsid w:val="000E34CA"/>
    <w:rsid w:val="000E3B5A"/>
    <w:rsid w:val="000E3E23"/>
    <w:rsid w:val="000E4DA3"/>
    <w:rsid w:val="000E4E40"/>
    <w:rsid w:val="000E5FFF"/>
    <w:rsid w:val="000E62AF"/>
    <w:rsid w:val="000E6C60"/>
    <w:rsid w:val="000E700D"/>
    <w:rsid w:val="000F0A03"/>
    <w:rsid w:val="000F0F38"/>
    <w:rsid w:val="000F1BCF"/>
    <w:rsid w:val="000F1D73"/>
    <w:rsid w:val="000F3665"/>
    <w:rsid w:val="000F4867"/>
    <w:rsid w:val="000F4ED9"/>
    <w:rsid w:val="000F724B"/>
    <w:rsid w:val="000F7E5E"/>
    <w:rsid w:val="00100090"/>
    <w:rsid w:val="00100D97"/>
    <w:rsid w:val="00101E83"/>
    <w:rsid w:val="00102782"/>
    <w:rsid w:val="00102B97"/>
    <w:rsid w:val="00102EF1"/>
    <w:rsid w:val="00103104"/>
    <w:rsid w:val="00103210"/>
    <w:rsid w:val="00103557"/>
    <w:rsid w:val="001039DD"/>
    <w:rsid w:val="00103D5A"/>
    <w:rsid w:val="001058C7"/>
    <w:rsid w:val="001068DB"/>
    <w:rsid w:val="00106F98"/>
    <w:rsid w:val="00107439"/>
    <w:rsid w:val="00107BC3"/>
    <w:rsid w:val="00110CAB"/>
    <w:rsid w:val="00111127"/>
    <w:rsid w:val="001116E6"/>
    <w:rsid w:val="00111785"/>
    <w:rsid w:val="00113E5D"/>
    <w:rsid w:val="00114912"/>
    <w:rsid w:val="00114E50"/>
    <w:rsid w:val="0011574C"/>
    <w:rsid w:val="001161BA"/>
    <w:rsid w:val="00117495"/>
    <w:rsid w:val="00117A46"/>
    <w:rsid w:val="00117DFB"/>
    <w:rsid w:val="00120358"/>
    <w:rsid w:val="00120CD2"/>
    <w:rsid w:val="0012117A"/>
    <w:rsid w:val="00121A29"/>
    <w:rsid w:val="001227BA"/>
    <w:rsid w:val="001236DB"/>
    <w:rsid w:val="001236DC"/>
    <w:rsid w:val="00123A2B"/>
    <w:rsid w:val="00123B35"/>
    <w:rsid w:val="0012432D"/>
    <w:rsid w:val="00124C5F"/>
    <w:rsid w:val="00125690"/>
    <w:rsid w:val="00126937"/>
    <w:rsid w:val="00127A16"/>
    <w:rsid w:val="00127AEE"/>
    <w:rsid w:val="0013089E"/>
    <w:rsid w:val="00132F4C"/>
    <w:rsid w:val="00135261"/>
    <w:rsid w:val="00135926"/>
    <w:rsid w:val="00135ED8"/>
    <w:rsid w:val="0013628C"/>
    <w:rsid w:val="00136877"/>
    <w:rsid w:val="00137864"/>
    <w:rsid w:val="00140260"/>
    <w:rsid w:val="00140C5A"/>
    <w:rsid w:val="00140F4D"/>
    <w:rsid w:val="001444B7"/>
    <w:rsid w:val="001452A0"/>
    <w:rsid w:val="001452B7"/>
    <w:rsid w:val="0014667B"/>
    <w:rsid w:val="00146A70"/>
    <w:rsid w:val="00146F7C"/>
    <w:rsid w:val="00147137"/>
    <w:rsid w:val="00147212"/>
    <w:rsid w:val="001472AD"/>
    <w:rsid w:val="001476C2"/>
    <w:rsid w:val="00152063"/>
    <w:rsid w:val="00152145"/>
    <w:rsid w:val="001524AC"/>
    <w:rsid w:val="00152DBB"/>
    <w:rsid w:val="0015436D"/>
    <w:rsid w:val="001547EC"/>
    <w:rsid w:val="00154981"/>
    <w:rsid w:val="00155301"/>
    <w:rsid w:val="00155B8D"/>
    <w:rsid w:val="0015615C"/>
    <w:rsid w:val="0015633D"/>
    <w:rsid w:val="00156655"/>
    <w:rsid w:val="00156E57"/>
    <w:rsid w:val="00157DAD"/>
    <w:rsid w:val="00157EDF"/>
    <w:rsid w:val="00160308"/>
    <w:rsid w:val="00160E40"/>
    <w:rsid w:val="0016166C"/>
    <w:rsid w:val="001627F6"/>
    <w:rsid w:val="00162A40"/>
    <w:rsid w:val="00162C11"/>
    <w:rsid w:val="00163F44"/>
    <w:rsid w:val="001650FD"/>
    <w:rsid w:val="0016578D"/>
    <w:rsid w:val="00165CE0"/>
    <w:rsid w:val="0016693F"/>
    <w:rsid w:val="00166A20"/>
    <w:rsid w:val="00166CB4"/>
    <w:rsid w:val="00167A26"/>
    <w:rsid w:val="00170C3D"/>
    <w:rsid w:val="001715CC"/>
    <w:rsid w:val="00171D94"/>
    <w:rsid w:val="0017201C"/>
    <w:rsid w:val="00172597"/>
    <w:rsid w:val="00173644"/>
    <w:rsid w:val="001738C0"/>
    <w:rsid w:val="00174595"/>
    <w:rsid w:val="0017680A"/>
    <w:rsid w:val="00176C69"/>
    <w:rsid w:val="001817A5"/>
    <w:rsid w:val="00183550"/>
    <w:rsid w:val="00183623"/>
    <w:rsid w:val="001838AD"/>
    <w:rsid w:val="00185822"/>
    <w:rsid w:val="00185926"/>
    <w:rsid w:val="0018660D"/>
    <w:rsid w:val="00186722"/>
    <w:rsid w:val="00190AB5"/>
    <w:rsid w:val="001911FC"/>
    <w:rsid w:val="00191808"/>
    <w:rsid w:val="00191A61"/>
    <w:rsid w:val="001935BB"/>
    <w:rsid w:val="00193760"/>
    <w:rsid w:val="00193A3B"/>
    <w:rsid w:val="00193FAC"/>
    <w:rsid w:val="00194308"/>
    <w:rsid w:val="00195D8A"/>
    <w:rsid w:val="001962CA"/>
    <w:rsid w:val="00196E14"/>
    <w:rsid w:val="001A1304"/>
    <w:rsid w:val="001A1808"/>
    <w:rsid w:val="001A330D"/>
    <w:rsid w:val="001A3A4D"/>
    <w:rsid w:val="001A3B3F"/>
    <w:rsid w:val="001A3FF1"/>
    <w:rsid w:val="001A4A30"/>
    <w:rsid w:val="001A51E5"/>
    <w:rsid w:val="001A56CE"/>
    <w:rsid w:val="001A5836"/>
    <w:rsid w:val="001A647F"/>
    <w:rsid w:val="001A67B8"/>
    <w:rsid w:val="001B10C6"/>
    <w:rsid w:val="001B16D1"/>
    <w:rsid w:val="001B19AD"/>
    <w:rsid w:val="001B1A42"/>
    <w:rsid w:val="001B1BB2"/>
    <w:rsid w:val="001B20FB"/>
    <w:rsid w:val="001B3575"/>
    <w:rsid w:val="001B3731"/>
    <w:rsid w:val="001B38DE"/>
    <w:rsid w:val="001B3EBE"/>
    <w:rsid w:val="001B4C20"/>
    <w:rsid w:val="001B5266"/>
    <w:rsid w:val="001B561F"/>
    <w:rsid w:val="001B7565"/>
    <w:rsid w:val="001C1FD6"/>
    <w:rsid w:val="001C2920"/>
    <w:rsid w:val="001C2985"/>
    <w:rsid w:val="001C300F"/>
    <w:rsid w:val="001C3B16"/>
    <w:rsid w:val="001C3B33"/>
    <w:rsid w:val="001C3D4A"/>
    <w:rsid w:val="001C4EF0"/>
    <w:rsid w:val="001C534D"/>
    <w:rsid w:val="001C5826"/>
    <w:rsid w:val="001C6A88"/>
    <w:rsid w:val="001C6E69"/>
    <w:rsid w:val="001C7195"/>
    <w:rsid w:val="001C79CE"/>
    <w:rsid w:val="001D08CA"/>
    <w:rsid w:val="001D0F20"/>
    <w:rsid w:val="001D202F"/>
    <w:rsid w:val="001D27FB"/>
    <w:rsid w:val="001D28BF"/>
    <w:rsid w:val="001D4048"/>
    <w:rsid w:val="001D4331"/>
    <w:rsid w:val="001D474E"/>
    <w:rsid w:val="001D4AFD"/>
    <w:rsid w:val="001D570C"/>
    <w:rsid w:val="001D6BDA"/>
    <w:rsid w:val="001D7BDE"/>
    <w:rsid w:val="001E1E51"/>
    <w:rsid w:val="001E22BD"/>
    <w:rsid w:val="001E2717"/>
    <w:rsid w:val="001E2DBD"/>
    <w:rsid w:val="001E43F0"/>
    <w:rsid w:val="001E4A48"/>
    <w:rsid w:val="001E4EB2"/>
    <w:rsid w:val="001E6917"/>
    <w:rsid w:val="001E6B2A"/>
    <w:rsid w:val="001E70A3"/>
    <w:rsid w:val="001E7258"/>
    <w:rsid w:val="001E72DB"/>
    <w:rsid w:val="001E7539"/>
    <w:rsid w:val="001E790D"/>
    <w:rsid w:val="001F01EC"/>
    <w:rsid w:val="001F0761"/>
    <w:rsid w:val="001F1CF2"/>
    <w:rsid w:val="001F4734"/>
    <w:rsid w:val="001F476D"/>
    <w:rsid w:val="001F57AD"/>
    <w:rsid w:val="001F5882"/>
    <w:rsid w:val="001F6E23"/>
    <w:rsid w:val="001F7807"/>
    <w:rsid w:val="001F7D86"/>
    <w:rsid w:val="002006F9"/>
    <w:rsid w:val="00200C32"/>
    <w:rsid w:val="00201889"/>
    <w:rsid w:val="00201EA0"/>
    <w:rsid w:val="00202384"/>
    <w:rsid w:val="00202F12"/>
    <w:rsid w:val="002035A6"/>
    <w:rsid w:val="00203B8A"/>
    <w:rsid w:val="0020450A"/>
    <w:rsid w:val="00204B57"/>
    <w:rsid w:val="00205336"/>
    <w:rsid w:val="00206B02"/>
    <w:rsid w:val="002075DC"/>
    <w:rsid w:val="00207D5F"/>
    <w:rsid w:val="00210831"/>
    <w:rsid w:val="0021187A"/>
    <w:rsid w:val="00211E2B"/>
    <w:rsid w:val="0021238F"/>
    <w:rsid w:val="00214108"/>
    <w:rsid w:val="00214222"/>
    <w:rsid w:val="00214639"/>
    <w:rsid w:val="00215DA7"/>
    <w:rsid w:val="00216820"/>
    <w:rsid w:val="002169F5"/>
    <w:rsid w:val="00217A45"/>
    <w:rsid w:val="00221255"/>
    <w:rsid w:val="002215F8"/>
    <w:rsid w:val="0022292C"/>
    <w:rsid w:val="002230A7"/>
    <w:rsid w:val="002239D0"/>
    <w:rsid w:val="00227FD5"/>
    <w:rsid w:val="0023053E"/>
    <w:rsid w:val="00230EE2"/>
    <w:rsid w:val="002337E1"/>
    <w:rsid w:val="00234227"/>
    <w:rsid w:val="002344CB"/>
    <w:rsid w:val="002345E5"/>
    <w:rsid w:val="00236FB0"/>
    <w:rsid w:val="00240109"/>
    <w:rsid w:val="00240609"/>
    <w:rsid w:val="00240665"/>
    <w:rsid w:val="002407CD"/>
    <w:rsid w:val="0024086E"/>
    <w:rsid w:val="00241656"/>
    <w:rsid w:val="0024183E"/>
    <w:rsid w:val="002429AE"/>
    <w:rsid w:val="00242EA4"/>
    <w:rsid w:val="00244097"/>
    <w:rsid w:val="00244E22"/>
    <w:rsid w:val="00246779"/>
    <w:rsid w:val="00246DD7"/>
    <w:rsid w:val="0024707A"/>
    <w:rsid w:val="00250258"/>
    <w:rsid w:val="00250828"/>
    <w:rsid w:val="00252119"/>
    <w:rsid w:val="002522FB"/>
    <w:rsid w:val="00252A15"/>
    <w:rsid w:val="00252A81"/>
    <w:rsid w:val="00252AD5"/>
    <w:rsid w:val="00252FFF"/>
    <w:rsid w:val="002530AD"/>
    <w:rsid w:val="00253186"/>
    <w:rsid w:val="00254054"/>
    <w:rsid w:val="0025407D"/>
    <w:rsid w:val="00257C54"/>
    <w:rsid w:val="00261275"/>
    <w:rsid w:val="002624E1"/>
    <w:rsid w:val="002629F3"/>
    <w:rsid w:val="00263D28"/>
    <w:rsid w:val="00266800"/>
    <w:rsid w:val="00267585"/>
    <w:rsid w:val="002675FF"/>
    <w:rsid w:val="002700EE"/>
    <w:rsid w:val="00270277"/>
    <w:rsid w:val="002718DC"/>
    <w:rsid w:val="00272259"/>
    <w:rsid w:val="00272C9D"/>
    <w:rsid w:val="00273850"/>
    <w:rsid w:val="00274037"/>
    <w:rsid w:val="00274BD8"/>
    <w:rsid w:val="00274C57"/>
    <w:rsid w:val="00274D63"/>
    <w:rsid w:val="00275795"/>
    <w:rsid w:val="00276276"/>
    <w:rsid w:val="00277E9D"/>
    <w:rsid w:val="002806FB"/>
    <w:rsid w:val="00281057"/>
    <w:rsid w:val="002816E3"/>
    <w:rsid w:val="002822A1"/>
    <w:rsid w:val="002828A2"/>
    <w:rsid w:val="00282A25"/>
    <w:rsid w:val="00282B8F"/>
    <w:rsid w:val="002839A4"/>
    <w:rsid w:val="0028733D"/>
    <w:rsid w:val="002873C0"/>
    <w:rsid w:val="0028786E"/>
    <w:rsid w:val="002878A1"/>
    <w:rsid w:val="00287FF0"/>
    <w:rsid w:val="00290253"/>
    <w:rsid w:val="00291073"/>
    <w:rsid w:val="00293661"/>
    <w:rsid w:val="00293CDF"/>
    <w:rsid w:val="00295226"/>
    <w:rsid w:val="00295FE9"/>
    <w:rsid w:val="002A025B"/>
    <w:rsid w:val="002A16AE"/>
    <w:rsid w:val="002A30E0"/>
    <w:rsid w:val="002A35E0"/>
    <w:rsid w:val="002A3A5F"/>
    <w:rsid w:val="002A514B"/>
    <w:rsid w:val="002A5151"/>
    <w:rsid w:val="002A57DD"/>
    <w:rsid w:val="002A5923"/>
    <w:rsid w:val="002A65F6"/>
    <w:rsid w:val="002A6AD1"/>
    <w:rsid w:val="002A6B9D"/>
    <w:rsid w:val="002B1740"/>
    <w:rsid w:val="002B1A48"/>
    <w:rsid w:val="002B2068"/>
    <w:rsid w:val="002B20B8"/>
    <w:rsid w:val="002B2E44"/>
    <w:rsid w:val="002B37B2"/>
    <w:rsid w:val="002B47FB"/>
    <w:rsid w:val="002B493B"/>
    <w:rsid w:val="002B4A0D"/>
    <w:rsid w:val="002B5AFC"/>
    <w:rsid w:val="002B694F"/>
    <w:rsid w:val="002B7AF7"/>
    <w:rsid w:val="002C119B"/>
    <w:rsid w:val="002C1643"/>
    <w:rsid w:val="002C2B80"/>
    <w:rsid w:val="002C45BF"/>
    <w:rsid w:val="002C52B0"/>
    <w:rsid w:val="002C54D1"/>
    <w:rsid w:val="002C5690"/>
    <w:rsid w:val="002C5835"/>
    <w:rsid w:val="002C60C4"/>
    <w:rsid w:val="002C6CDE"/>
    <w:rsid w:val="002C7353"/>
    <w:rsid w:val="002C76C2"/>
    <w:rsid w:val="002C7B9D"/>
    <w:rsid w:val="002D0B86"/>
    <w:rsid w:val="002D1035"/>
    <w:rsid w:val="002D104B"/>
    <w:rsid w:val="002D2E78"/>
    <w:rsid w:val="002D3663"/>
    <w:rsid w:val="002D38AE"/>
    <w:rsid w:val="002D4D8C"/>
    <w:rsid w:val="002D5872"/>
    <w:rsid w:val="002E0C7D"/>
    <w:rsid w:val="002E2026"/>
    <w:rsid w:val="002E25FE"/>
    <w:rsid w:val="002E2705"/>
    <w:rsid w:val="002E2B28"/>
    <w:rsid w:val="002E32D1"/>
    <w:rsid w:val="002E3B6E"/>
    <w:rsid w:val="002E3F57"/>
    <w:rsid w:val="002E6433"/>
    <w:rsid w:val="002E66B2"/>
    <w:rsid w:val="002E6B83"/>
    <w:rsid w:val="002E6F2D"/>
    <w:rsid w:val="002E7E0D"/>
    <w:rsid w:val="002F00F5"/>
    <w:rsid w:val="002F04DF"/>
    <w:rsid w:val="002F0564"/>
    <w:rsid w:val="002F22B0"/>
    <w:rsid w:val="002F2393"/>
    <w:rsid w:val="002F2BFA"/>
    <w:rsid w:val="002F2C3D"/>
    <w:rsid w:val="002F2E02"/>
    <w:rsid w:val="002F38FB"/>
    <w:rsid w:val="002F43CC"/>
    <w:rsid w:val="002F4468"/>
    <w:rsid w:val="002F4D68"/>
    <w:rsid w:val="002F4F87"/>
    <w:rsid w:val="002F560B"/>
    <w:rsid w:val="002F5BBC"/>
    <w:rsid w:val="002F5BC1"/>
    <w:rsid w:val="002F5E55"/>
    <w:rsid w:val="002F67F2"/>
    <w:rsid w:val="002F6EFC"/>
    <w:rsid w:val="00300134"/>
    <w:rsid w:val="00300219"/>
    <w:rsid w:val="003003CC"/>
    <w:rsid w:val="00300B5E"/>
    <w:rsid w:val="003016DA"/>
    <w:rsid w:val="00301ED4"/>
    <w:rsid w:val="00302033"/>
    <w:rsid w:val="0030289C"/>
    <w:rsid w:val="003030E9"/>
    <w:rsid w:val="00303302"/>
    <w:rsid w:val="00303B13"/>
    <w:rsid w:val="00304659"/>
    <w:rsid w:val="00304B77"/>
    <w:rsid w:val="00305420"/>
    <w:rsid w:val="0030674E"/>
    <w:rsid w:val="00310CE2"/>
    <w:rsid w:val="003113A6"/>
    <w:rsid w:val="00311803"/>
    <w:rsid w:val="00311AE2"/>
    <w:rsid w:val="00312E6A"/>
    <w:rsid w:val="0031338E"/>
    <w:rsid w:val="00314B8F"/>
    <w:rsid w:val="00314DB3"/>
    <w:rsid w:val="003151CC"/>
    <w:rsid w:val="00316836"/>
    <w:rsid w:val="00316F5E"/>
    <w:rsid w:val="00317ABC"/>
    <w:rsid w:val="00317ADF"/>
    <w:rsid w:val="00317C6D"/>
    <w:rsid w:val="00317DE5"/>
    <w:rsid w:val="00320A3F"/>
    <w:rsid w:val="00320E81"/>
    <w:rsid w:val="00321322"/>
    <w:rsid w:val="00321912"/>
    <w:rsid w:val="003226AB"/>
    <w:rsid w:val="00323567"/>
    <w:rsid w:val="00323DE7"/>
    <w:rsid w:val="003259AC"/>
    <w:rsid w:val="003267D9"/>
    <w:rsid w:val="00327671"/>
    <w:rsid w:val="003317C0"/>
    <w:rsid w:val="00331B60"/>
    <w:rsid w:val="00333512"/>
    <w:rsid w:val="0033364A"/>
    <w:rsid w:val="003336BC"/>
    <w:rsid w:val="0033383F"/>
    <w:rsid w:val="00333BB9"/>
    <w:rsid w:val="00334D0E"/>
    <w:rsid w:val="003363F1"/>
    <w:rsid w:val="0033776F"/>
    <w:rsid w:val="003401D1"/>
    <w:rsid w:val="0034066E"/>
    <w:rsid w:val="003407DA"/>
    <w:rsid w:val="00344181"/>
    <w:rsid w:val="003454AB"/>
    <w:rsid w:val="0034646D"/>
    <w:rsid w:val="003469A9"/>
    <w:rsid w:val="00346FEE"/>
    <w:rsid w:val="0035037B"/>
    <w:rsid w:val="0035146B"/>
    <w:rsid w:val="003517B3"/>
    <w:rsid w:val="00352B9E"/>
    <w:rsid w:val="00352BBF"/>
    <w:rsid w:val="00353BD3"/>
    <w:rsid w:val="003565E7"/>
    <w:rsid w:val="003574EB"/>
    <w:rsid w:val="00360737"/>
    <w:rsid w:val="00360875"/>
    <w:rsid w:val="003608E5"/>
    <w:rsid w:val="003609B9"/>
    <w:rsid w:val="00360CAC"/>
    <w:rsid w:val="003610DC"/>
    <w:rsid w:val="00361C04"/>
    <w:rsid w:val="00362040"/>
    <w:rsid w:val="003637CE"/>
    <w:rsid w:val="00363880"/>
    <w:rsid w:val="0036407D"/>
    <w:rsid w:val="00364741"/>
    <w:rsid w:val="00364E41"/>
    <w:rsid w:val="00365107"/>
    <w:rsid w:val="003657F6"/>
    <w:rsid w:val="00365B4B"/>
    <w:rsid w:val="00366E38"/>
    <w:rsid w:val="0036722F"/>
    <w:rsid w:val="0036766A"/>
    <w:rsid w:val="00367AFF"/>
    <w:rsid w:val="00367E4A"/>
    <w:rsid w:val="003700FA"/>
    <w:rsid w:val="0037076E"/>
    <w:rsid w:val="00370E9B"/>
    <w:rsid w:val="003714D7"/>
    <w:rsid w:val="00372439"/>
    <w:rsid w:val="0037249F"/>
    <w:rsid w:val="0037311C"/>
    <w:rsid w:val="003735EB"/>
    <w:rsid w:val="00373D60"/>
    <w:rsid w:val="00374E87"/>
    <w:rsid w:val="0037520B"/>
    <w:rsid w:val="003754FF"/>
    <w:rsid w:val="0037561B"/>
    <w:rsid w:val="00375F48"/>
    <w:rsid w:val="003800A4"/>
    <w:rsid w:val="003804A0"/>
    <w:rsid w:val="00380A71"/>
    <w:rsid w:val="00380D6E"/>
    <w:rsid w:val="00380F4B"/>
    <w:rsid w:val="00381049"/>
    <w:rsid w:val="003820AA"/>
    <w:rsid w:val="00384013"/>
    <w:rsid w:val="0038526E"/>
    <w:rsid w:val="003870BE"/>
    <w:rsid w:val="00387809"/>
    <w:rsid w:val="00390279"/>
    <w:rsid w:val="00390F4A"/>
    <w:rsid w:val="003912E7"/>
    <w:rsid w:val="0039142E"/>
    <w:rsid w:val="00391717"/>
    <w:rsid w:val="00391A6A"/>
    <w:rsid w:val="00391D91"/>
    <w:rsid w:val="0039206F"/>
    <w:rsid w:val="00392566"/>
    <w:rsid w:val="003926F7"/>
    <w:rsid w:val="003932E1"/>
    <w:rsid w:val="003934F0"/>
    <w:rsid w:val="00393E4A"/>
    <w:rsid w:val="003942D7"/>
    <w:rsid w:val="00394983"/>
    <w:rsid w:val="00394B49"/>
    <w:rsid w:val="00394E8C"/>
    <w:rsid w:val="0039519B"/>
    <w:rsid w:val="0039648A"/>
    <w:rsid w:val="00396608"/>
    <w:rsid w:val="003A1D99"/>
    <w:rsid w:val="003A3CDC"/>
    <w:rsid w:val="003A3D04"/>
    <w:rsid w:val="003A41B7"/>
    <w:rsid w:val="003A7734"/>
    <w:rsid w:val="003A7B7F"/>
    <w:rsid w:val="003A7BDF"/>
    <w:rsid w:val="003A7ECD"/>
    <w:rsid w:val="003B158E"/>
    <w:rsid w:val="003B2C70"/>
    <w:rsid w:val="003B4491"/>
    <w:rsid w:val="003B44C2"/>
    <w:rsid w:val="003B4753"/>
    <w:rsid w:val="003B56D3"/>
    <w:rsid w:val="003B5A6B"/>
    <w:rsid w:val="003B6E27"/>
    <w:rsid w:val="003B7001"/>
    <w:rsid w:val="003B7648"/>
    <w:rsid w:val="003B7BAB"/>
    <w:rsid w:val="003C0B49"/>
    <w:rsid w:val="003C1E03"/>
    <w:rsid w:val="003C236E"/>
    <w:rsid w:val="003C23DF"/>
    <w:rsid w:val="003C2882"/>
    <w:rsid w:val="003C342B"/>
    <w:rsid w:val="003C3648"/>
    <w:rsid w:val="003C3C0B"/>
    <w:rsid w:val="003C57D1"/>
    <w:rsid w:val="003C5948"/>
    <w:rsid w:val="003C5FD1"/>
    <w:rsid w:val="003C690E"/>
    <w:rsid w:val="003C710E"/>
    <w:rsid w:val="003C7A22"/>
    <w:rsid w:val="003C7C01"/>
    <w:rsid w:val="003D03F0"/>
    <w:rsid w:val="003D07FC"/>
    <w:rsid w:val="003D163B"/>
    <w:rsid w:val="003D22BD"/>
    <w:rsid w:val="003D319A"/>
    <w:rsid w:val="003D382C"/>
    <w:rsid w:val="003D45B4"/>
    <w:rsid w:val="003D6862"/>
    <w:rsid w:val="003D6E3C"/>
    <w:rsid w:val="003D7630"/>
    <w:rsid w:val="003D76FB"/>
    <w:rsid w:val="003D7B55"/>
    <w:rsid w:val="003E03E8"/>
    <w:rsid w:val="003E0DB4"/>
    <w:rsid w:val="003E173F"/>
    <w:rsid w:val="003E3930"/>
    <w:rsid w:val="003E3E0E"/>
    <w:rsid w:val="003E3F3C"/>
    <w:rsid w:val="003E44C6"/>
    <w:rsid w:val="003E4979"/>
    <w:rsid w:val="003E4AED"/>
    <w:rsid w:val="003E507E"/>
    <w:rsid w:val="003E7555"/>
    <w:rsid w:val="003F058A"/>
    <w:rsid w:val="003F0A88"/>
    <w:rsid w:val="003F0C7F"/>
    <w:rsid w:val="003F11A3"/>
    <w:rsid w:val="003F17AA"/>
    <w:rsid w:val="003F1E17"/>
    <w:rsid w:val="003F204B"/>
    <w:rsid w:val="003F3690"/>
    <w:rsid w:val="003F3C0E"/>
    <w:rsid w:val="003F6622"/>
    <w:rsid w:val="003F6E8D"/>
    <w:rsid w:val="003F7679"/>
    <w:rsid w:val="003F7E33"/>
    <w:rsid w:val="004009C3"/>
    <w:rsid w:val="004020F0"/>
    <w:rsid w:val="0040292F"/>
    <w:rsid w:val="00402E2D"/>
    <w:rsid w:val="004037FA"/>
    <w:rsid w:val="00404797"/>
    <w:rsid w:val="004049AC"/>
    <w:rsid w:val="00404E68"/>
    <w:rsid w:val="00404FA3"/>
    <w:rsid w:val="004059DF"/>
    <w:rsid w:val="00405C0D"/>
    <w:rsid w:val="00405C1E"/>
    <w:rsid w:val="004060B2"/>
    <w:rsid w:val="0040779F"/>
    <w:rsid w:val="00407C82"/>
    <w:rsid w:val="004117CB"/>
    <w:rsid w:val="0041255B"/>
    <w:rsid w:val="004130BB"/>
    <w:rsid w:val="00413B1E"/>
    <w:rsid w:val="004142FF"/>
    <w:rsid w:val="004143F1"/>
    <w:rsid w:val="00414944"/>
    <w:rsid w:val="004156A7"/>
    <w:rsid w:val="0041593E"/>
    <w:rsid w:val="00416062"/>
    <w:rsid w:val="00416068"/>
    <w:rsid w:val="004205AC"/>
    <w:rsid w:val="00420A68"/>
    <w:rsid w:val="00421268"/>
    <w:rsid w:val="004214B7"/>
    <w:rsid w:val="004224BC"/>
    <w:rsid w:val="004228AF"/>
    <w:rsid w:val="00422AF6"/>
    <w:rsid w:val="00422DBF"/>
    <w:rsid w:val="00424161"/>
    <w:rsid w:val="00424E39"/>
    <w:rsid w:val="0042608B"/>
    <w:rsid w:val="004260B8"/>
    <w:rsid w:val="00426492"/>
    <w:rsid w:val="00426641"/>
    <w:rsid w:val="004272C8"/>
    <w:rsid w:val="004275CB"/>
    <w:rsid w:val="004276D7"/>
    <w:rsid w:val="00427764"/>
    <w:rsid w:val="0043130C"/>
    <w:rsid w:val="00431C15"/>
    <w:rsid w:val="00434FB1"/>
    <w:rsid w:val="0043614D"/>
    <w:rsid w:val="00436BD7"/>
    <w:rsid w:val="00437620"/>
    <w:rsid w:val="00437ABD"/>
    <w:rsid w:val="00440A54"/>
    <w:rsid w:val="00445BB2"/>
    <w:rsid w:val="00445C1F"/>
    <w:rsid w:val="00445EA0"/>
    <w:rsid w:val="00446631"/>
    <w:rsid w:val="00447137"/>
    <w:rsid w:val="004505D4"/>
    <w:rsid w:val="00450881"/>
    <w:rsid w:val="00450A7D"/>
    <w:rsid w:val="00450C54"/>
    <w:rsid w:val="00450CDF"/>
    <w:rsid w:val="00452F47"/>
    <w:rsid w:val="0045308D"/>
    <w:rsid w:val="00453613"/>
    <w:rsid w:val="00455839"/>
    <w:rsid w:val="00456619"/>
    <w:rsid w:val="004573F2"/>
    <w:rsid w:val="004575FC"/>
    <w:rsid w:val="00457674"/>
    <w:rsid w:val="0045788C"/>
    <w:rsid w:val="004600CB"/>
    <w:rsid w:val="00461127"/>
    <w:rsid w:val="004612BC"/>
    <w:rsid w:val="004612DB"/>
    <w:rsid w:val="00461C79"/>
    <w:rsid w:val="0046254A"/>
    <w:rsid w:val="00462A62"/>
    <w:rsid w:val="00463368"/>
    <w:rsid w:val="004634D9"/>
    <w:rsid w:val="00463D18"/>
    <w:rsid w:val="004642C7"/>
    <w:rsid w:val="0046457B"/>
    <w:rsid w:val="00464597"/>
    <w:rsid w:val="0046466C"/>
    <w:rsid w:val="00464D3C"/>
    <w:rsid w:val="00465D05"/>
    <w:rsid w:val="004669F0"/>
    <w:rsid w:val="00467551"/>
    <w:rsid w:val="0047154D"/>
    <w:rsid w:val="004724B2"/>
    <w:rsid w:val="00473870"/>
    <w:rsid w:val="00473A71"/>
    <w:rsid w:val="004744A1"/>
    <w:rsid w:val="004749DB"/>
    <w:rsid w:val="00474A92"/>
    <w:rsid w:val="00474F9E"/>
    <w:rsid w:val="004752F3"/>
    <w:rsid w:val="00475C50"/>
    <w:rsid w:val="004768E5"/>
    <w:rsid w:val="0048166A"/>
    <w:rsid w:val="00481DBE"/>
    <w:rsid w:val="004820C8"/>
    <w:rsid w:val="004822BD"/>
    <w:rsid w:val="00484150"/>
    <w:rsid w:val="0048447D"/>
    <w:rsid w:val="004852B8"/>
    <w:rsid w:val="0048579E"/>
    <w:rsid w:val="004868BB"/>
    <w:rsid w:val="004878AA"/>
    <w:rsid w:val="00490001"/>
    <w:rsid w:val="00491219"/>
    <w:rsid w:val="00491253"/>
    <w:rsid w:val="00491260"/>
    <w:rsid w:val="00491EB2"/>
    <w:rsid w:val="00492686"/>
    <w:rsid w:val="00492CD4"/>
    <w:rsid w:val="0049390C"/>
    <w:rsid w:val="00493EE7"/>
    <w:rsid w:val="0049419B"/>
    <w:rsid w:val="00495639"/>
    <w:rsid w:val="004966B0"/>
    <w:rsid w:val="004968B2"/>
    <w:rsid w:val="00496CF2"/>
    <w:rsid w:val="00497099"/>
    <w:rsid w:val="00497807"/>
    <w:rsid w:val="00497C55"/>
    <w:rsid w:val="00497E8F"/>
    <w:rsid w:val="004A022F"/>
    <w:rsid w:val="004A0343"/>
    <w:rsid w:val="004A134F"/>
    <w:rsid w:val="004A21C7"/>
    <w:rsid w:val="004A26F4"/>
    <w:rsid w:val="004A29BA"/>
    <w:rsid w:val="004A3491"/>
    <w:rsid w:val="004A4EB7"/>
    <w:rsid w:val="004A54AF"/>
    <w:rsid w:val="004A5B65"/>
    <w:rsid w:val="004A6A06"/>
    <w:rsid w:val="004A6EE5"/>
    <w:rsid w:val="004B0071"/>
    <w:rsid w:val="004B01B1"/>
    <w:rsid w:val="004B055C"/>
    <w:rsid w:val="004B0E54"/>
    <w:rsid w:val="004B36FB"/>
    <w:rsid w:val="004B3C0D"/>
    <w:rsid w:val="004B5787"/>
    <w:rsid w:val="004C1A71"/>
    <w:rsid w:val="004C1FF1"/>
    <w:rsid w:val="004C23FB"/>
    <w:rsid w:val="004C2548"/>
    <w:rsid w:val="004C2678"/>
    <w:rsid w:val="004C2BB4"/>
    <w:rsid w:val="004C2BC7"/>
    <w:rsid w:val="004C38DA"/>
    <w:rsid w:val="004C5C07"/>
    <w:rsid w:val="004C744D"/>
    <w:rsid w:val="004C790A"/>
    <w:rsid w:val="004D07E2"/>
    <w:rsid w:val="004D10B7"/>
    <w:rsid w:val="004D1223"/>
    <w:rsid w:val="004D1321"/>
    <w:rsid w:val="004D15D7"/>
    <w:rsid w:val="004D17BB"/>
    <w:rsid w:val="004D387D"/>
    <w:rsid w:val="004D61B0"/>
    <w:rsid w:val="004D629B"/>
    <w:rsid w:val="004D7112"/>
    <w:rsid w:val="004D71E0"/>
    <w:rsid w:val="004D783A"/>
    <w:rsid w:val="004E026D"/>
    <w:rsid w:val="004E0805"/>
    <w:rsid w:val="004E0B8A"/>
    <w:rsid w:val="004E1B17"/>
    <w:rsid w:val="004E1C3C"/>
    <w:rsid w:val="004E21AF"/>
    <w:rsid w:val="004E330B"/>
    <w:rsid w:val="004E58EC"/>
    <w:rsid w:val="004E5956"/>
    <w:rsid w:val="004E64CB"/>
    <w:rsid w:val="004E6A3C"/>
    <w:rsid w:val="004E6B84"/>
    <w:rsid w:val="004E6FE1"/>
    <w:rsid w:val="004E75D5"/>
    <w:rsid w:val="004F0533"/>
    <w:rsid w:val="004F3689"/>
    <w:rsid w:val="004F37F0"/>
    <w:rsid w:val="004F4686"/>
    <w:rsid w:val="004F53D5"/>
    <w:rsid w:val="004F5703"/>
    <w:rsid w:val="004F5C01"/>
    <w:rsid w:val="004F6A63"/>
    <w:rsid w:val="004F7819"/>
    <w:rsid w:val="00500F36"/>
    <w:rsid w:val="0050126F"/>
    <w:rsid w:val="00502477"/>
    <w:rsid w:val="00503E34"/>
    <w:rsid w:val="00503EC1"/>
    <w:rsid w:val="0050549C"/>
    <w:rsid w:val="00505A17"/>
    <w:rsid w:val="00505AD1"/>
    <w:rsid w:val="00506076"/>
    <w:rsid w:val="0050704F"/>
    <w:rsid w:val="0051005C"/>
    <w:rsid w:val="00510D8C"/>
    <w:rsid w:val="00511532"/>
    <w:rsid w:val="00512D15"/>
    <w:rsid w:val="00512D8E"/>
    <w:rsid w:val="00513437"/>
    <w:rsid w:val="00513EEC"/>
    <w:rsid w:val="00514A99"/>
    <w:rsid w:val="005176BC"/>
    <w:rsid w:val="00520E06"/>
    <w:rsid w:val="00521410"/>
    <w:rsid w:val="005216D0"/>
    <w:rsid w:val="00523952"/>
    <w:rsid w:val="00523B22"/>
    <w:rsid w:val="005259C8"/>
    <w:rsid w:val="00525AF2"/>
    <w:rsid w:val="005263FF"/>
    <w:rsid w:val="00527D7A"/>
    <w:rsid w:val="0053059D"/>
    <w:rsid w:val="00532BB2"/>
    <w:rsid w:val="00532CD1"/>
    <w:rsid w:val="00533B7A"/>
    <w:rsid w:val="00534EAE"/>
    <w:rsid w:val="005357A4"/>
    <w:rsid w:val="00535DAE"/>
    <w:rsid w:val="00536B66"/>
    <w:rsid w:val="0053791B"/>
    <w:rsid w:val="005402C3"/>
    <w:rsid w:val="00540C36"/>
    <w:rsid w:val="005417D9"/>
    <w:rsid w:val="00543B0B"/>
    <w:rsid w:val="00546560"/>
    <w:rsid w:val="00546F90"/>
    <w:rsid w:val="00547EDC"/>
    <w:rsid w:val="0055079B"/>
    <w:rsid w:val="00551067"/>
    <w:rsid w:val="0055234D"/>
    <w:rsid w:val="005527E4"/>
    <w:rsid w:val="00552C96"/>
    <w:rsid w:val="005534B8"/>
    <w:rsid w:val="00553A74"/>
    <w:rsid w:val="00554965"/>
    <w:rsid w:val="005559B6"/>
    <w:rsid w:val="00555E65"/>
    <w:rsid w:val="00556681"/>
    <w:rsid w:val="00556EC8"/>
    <w:rsid w:val="00560033"/>
    <w:rsid w:val="0056148C"/>
    <w:rsid w:val="00561AA5"/>
    <w:rsid w:val="00561BCB"/>
    <w:rsid w:val="0056224E"/>
    <w:rsid w:val="0056287E"/>
    <w:rsid w:val="00562B91"/>
    <w:rsid w:val="00565AB7"/>
    <w:rsid w:val="00566508"/>
    <w:rsid w:val="0056705C"/>
    <w:rsid w:val="00571208"/>
    <w:rsid w:val="005712B1"/>
    <w:rsid w:val="005718B0"/>
    <w:rsid w:val="00571C86"/>
    <w:rsid w:val="0057370E"/>
    <w:rsid w:val="00573FE0"/>
    <w:rsid w:val="00574852"/>
    <w:rsid w:val="005756FA"/>
    <w:rsid w:val="00576D0C"/>
    <w:rsid w:val="00577275"/>
    <w:rsid w:val="00577328"/>
    <w:rsid w:val="005806B1"/>
    <w:rsid w:val="00582297"/>
    <w:rsid w:val="00583647"/>
    <w:rsid w:val="005839AF"/>
    <w:rsid w:val="005848C3"/>
    <w:rsid w:val="00584DAC"/>
    <w:rsid w:val="00586EEC"/>
    <w:rsid w:val="0058749C"/>
    <w:rsid w:val="00587571"/>
    <w:rsid w:val="005875C9"/>
    <w:rsid w:val="00587D03"/>
    <w:rsid w:val="00590671"/>
    <w:rsid w:val="005927BC"/>
    <w:rsid w:val="00592E4F"/>
    <w:rsid w:val="005935F8"/>
    <w:rsid w:val="00593827"/>
    <w:rsid w:val="00593E15"/>
    <w:rsid w:val="00593EDB"/>
    <w:rsid w:val="0059469E"/>
    <w:rsid w:val="00594B9B"/>
    <w:rsid w:val="00594C61"/>
    <w:rsid w:val="00595983"/>
    <w:rsid w:val="00597152"/>
    <w:rsid w:val="005973DD"/>
    <w:rsid w:val="00597BA5"/>
    <w:rsid w:val="005A160F"/>
    <w:rsid w:val="005A18F9"/>
    <w:rsid w:val="005A196B"/>
    <w:rsid w:val="005A2447"/>
    <w:rsid w:val="005A25E2"/>
    <w:rsid w:val="005A2756"/>
    <w:rsid w:val="005A304D"/>
    <w:rsid w:val="005A476E"/>
    <w:rsid w:val="005A479C"/>
    <w:rsid w:val="005A4998"/>
    <w:rsid w:val="005A4E7C"/>
    <w:rsid w:val="005A5077"/>
    <w:rsid w:val="005A71E0"/>
    <w:rsid w:val="005A7A60"/>
    <w:rsid w:val="005A7D01"/>
    <w:rsid w:val="005B0B0A"/>
    <w:rsid w:val="005B0CEC"/>
    <w:rsid w:val="005B1164"/>
    <w:rsid w:val="005B1C35"/>
    <w:rsid w:val="005B2705"/>
    <w:rsid w:val="005B2761"/>
    <w:rsid w:val="005B28DD"/>
    <w:rsid w:val="005B2F26"/>
    <w:rsid w:val="005B365C"/>
    <w:rsid w:val="005B3D09"/>
    <w:rsid w:val="005B3EF7"/>
    <w:rsid w:val="005B4762"/>
    <w:rsid w:val="005B4781"/>
    <w:rsid w:val="005B4F04"/>
    <w:rsid w:val="005B592C"/>
    <w:rsid w:val="005B5B48"/>
    <w:rsid w:val="005B5C91"/>
    <w:rsid w:val="005B5D79"/>
    <w:rsid w:val="005B6681"/>
    <w:rsid w:val="005B6C85"/>
    <w:rsid w:val="005B6CA8"/>
    <w:rsid w:val="005B7636"/>
    <w:rsid w:val="005B778C"/>
    <w:rsid w:val="005B7C13"/>
    <w:rsid w:val="005C1270"/>
    <w:rsid w:val="005C18BB"/>
    <w:rsid w:val="005C26D4"/>
    <w:rsid w:val="005C3217"/>
    <w:rsid w:val="005C3A9D"/>
    <w:rsid w:val="005C3D4B"/>
    <w:rsid w:val="005C5862"/>
    <w:rsid w:val="005C6512"/>
    <w:rsid w:val="005C6705"/>
    <w:rsid w:val="005C6E62"/>
    <w:rsid w:val="005C7054"/>
    <w:rsid w:val="005C7072"/>
    <w:rsid w:val="005C7EDE"/>
    <w:rsid w:val="005D00AB"/>
    <w:rsid w:val="005D04EF"/>
    <w:rsid w:val="005D18BB"/>
    <w:rsid w:val="005D1BE5"/>
    <w:rsid w:val="005D3703"/>
    <w:rsid w:val="005D3DBC"/>
    <w:rsid w:val="005D4879"/>
    <w:rsid w:val="005D5402"/>
    <w:rsid w:val="005D575E"/>
    <w:rsid w:val="005D5DA6"/>
    <w:rsid w:val="005D62E1"/>
    <w:rsid w:val="005D66ED"/>
    <w:rsid w:val="005D762C"/>
    <w:rsid w:val="005D7757"/>
    <w:rsid w:val="005E08EE"/>
    <w:rsid w:val="005E0BBB"/>
    <w:rsid w:val="005E2C57"/>
    <w:rsid w:val="005E2D54"/>
    <w:rsid w:val="005E402F"/>
    <w:rsid w:val="005E43E6"/>
    <w:rsid w:val="005E5BAB"/>
    <w:rsid w:val="005E702F"/>
    <w:rsid w:val="005E7799"/>
    <w:rsid w:val="005F11F1"/>
    <w:rsid w:val="005F1D57"/>
    <w:rsid w:val="005F237F"/>
    <w:rsid w:val="005F3117"/>
    <w:rsid w:val="005F34FC"/>
    <w:rsid w:val="005F4882"/>
    <w:rsid w:val="005F4D68"/>
    <w:rsid w:val="005F4DB9"/>
    <w:rsid w:val="005F5008"/>
    <w:rsid w:val="005F5974"/>
    <w:rsid w:val="005F5A83"/>
    <w:rsid w:val="005F6157"/>
    <w:rsid w:val="005F62BE"/>
    <w:rsid w:val="005F643D"/>
    <w:rsid w:val="005F6EFE"/>
    <w:rsid w:val="00600945"/>
    <w:rsid w:val="00600BF4"/>
    <w:rsid w:val="00601375"/>
    <w:rsid w:val="00601485"/>
    <w:rsid w:val="00602288"/>
    <w:rsid w:val="00602B6E"/>
    <w:rsid w:val="006036EC"/>
    <w:rsid w:val="006037C8"/>
    <w:rsid w:val="00603CC8"/>
    <w:rsid w:val="00604F6B"/>
    <w:rsid w:val="006065F3"/>
    <w:rsid w:val="0060687D"/>
    <w:rsid w:val="0061040F"/>
    <w:rsid w:val="006111CD"/>
    <w:rsid w:val="00611299"/>
    <w:rsid w:val="00611394"/>
    <w:rsid w:val="0061173F"/>
    <w:rsid w:val="00614069"/>
    <w:rsid w:val="00614104"/>
    <w:rsid w:val="00614747"/>
    <w:rsid w:val="00614D1A"/>
    <w:rsid w:val="00614F5B"/>
    <w:rsid w:val="0061500D"/>
    <w:rsid w:val="00616944"/>
    <w:rsid w:val="00617123"/>
    <w:rsid w:val="00617625"/>
    <w:rsid w:val="00620CA3"/>
    <w:rsid w:val="00620D07"/>
    <w:rsid w:val="0062259B"/>
    <w:rsid w:val="00622E9F"/>
    <w:rsid w:val="00623FC5"/>
    <w:rsid w:val="00624787"/>
    <w:rsid w:val="006257D5"/>
    <w:rsid w:val="00626DDC"/>
    <w:rsid w:val="0063009F"/>
    <w:rsid w:val="00631D8E"/>
    <w:rsid w:val="00631FE7"/>
    <w:rsid w:val="00632114"/>
    <w:rsid w:val="0063307B"/>
    <w:rsid w:val="00633E41"/>
    <w:rsid w:val="00634199"/>
    <w:rsid w:val="00636916"/>
    <w:rsid w:val="00636A4A"/>
    <w:rsid w:val="00640799"/>
    <w:rsid w:val="00640B45"/>
    <w:rsid w:val="006421AC"/>
    <w:rsid w:val="006433AB"/>
    <w:rsid w:val="00644564"/>
    <w:rsid w:val="006451FD"/>
    <w:rsid w:val="00645BF1"/>
    <w:rsid w:val="00645F0A"/>
    <w:rsid w:val="00646C1A"/>
    <w:rsid w:val="00646F47"/>
    <w:rsid w:val="00647433"/>
    <w:rsid w:val="00650F55"/>
    <w:rsid w:val="006517B8"/>
    <w:rsid w:val="006517E1"/>
    <w:rsid w:val="00652765"/>
    <w:rsid w:val="00652A31"/>
    <w:rsid w:val="00652FB3"/>
    <w:rsid w:val="00652FBF"/>
    <w:rsid w:val="0065317E"/>
    <w:rsid w:val="00653EDB"/>
    <w:rsid w:val="00654130"/>
    <w:rsid w:val="006545A7"/>
    <w:rsid w:val="006548CC"/>
    <w:rsid w:val="00654A9C"/>
    <w:rsid w:val="00654B3D"/>
    <w:rsid w:val="00654CD6"/>
    <w:rsid w:val="0065676C"/>
    <w:rsid w:val="006568F3"/>
    <w:rsid w:val="00660324"/>
    <w:rsid w:val="00662574"/>
    <w:rsid w:val="006632BB"/>
    <w:rsid w:val="006633BC"/>
    <w:rsid w:val="00663F9F"/>
    <w:rsid w:val="0066606E"/>
    <w:rsid w:val="006666C3"/>
    <w:rsid w:val="0066673E"/>
    <w:rsid w:val="00666BB8"/>
    <w:rsid w:val="006671DA"/>
    <w:rsid w:val="0066721A"/>
    <w:rsid w:val="00667515"/>
    <w:rsid w:val="0067024D"/>
    <w:rsid w:val="0067029E"/>
    <w:rsid w:val="00670AB2"/>
    <w:rsid w:val="00671354"/>
    <w:rsid w:val="006725F1"/>
    <w:rsid w:val="006729AA"/>
    <w:rsid w:val="00672A79"/>
    <w:rsid w:val="00673E5B"/>
    <w:rsid w:val="006745BA"/>
    <w:rsid w:val="00675128"/>
    <w:rsid w:val="00676075"/>
    <w:rsid w:val="00677183"/>
    <w:rsid w:val="00677686"/>
    <w:rsid w:val="00681FAC"/>
    <w:rsid w:val="00682662"/>
    <w:rsid w:val="00682CBE"/>
    <w:rsid w:val="00682D3E"/>
    <w:rsid w:val="00683AD6"/>
    <w:rsid w:val="00683CD1"/>
    <w:rsid w:val="00683D92"/>
    <w:rsid w:val="006840A1"/>
    <w:rsid w:val="006842CF"/>
    <w:rsid w:val="0068481D"/>
    <w:rsid w:val="006849F0"/>
    <w:rsid w:val="006856E7"/>
    <w:rsid w:val="00685B21"/>
    <w:rsid w:val="00687039"/>
    <w:rsid w:val="00687E6E"/>
    <w:rsid w:val="00687F06"/>
    <w:rsid w:val="00691A3F"/>
    <w:rsid w:val="00692959"/>
    <w:rsid w:val="00693110"/>
    <w:rsid w:val="0069336E"/>
    <w:rsid w:val="006935EA"/>
    <w:rsid w:val="00694122"/>
    <w:rsid w:val="00694830"/>
    <w:rsid w:val="006955E3"/>
    <w:rsid w:val="006957AD"/>
    <w:rsid w:val="0069680A"/>
    <w:rsid w:val="00697D46"/>
    <w:rsid w:val="00697EAD"/>
    <w:rsid w:val="006A027C"/>
    <w:rsid w:val="006A0378"/>
    <w:rsid w:val="006A061C"/>
    <w:rsid w:val="006A0710"/>
    <w:rsid w:val="006A121C"/>
    <w:rsid w:val="006A1E9A"/>
    <w:rsid w:val="006A2218"/>
    <w:rsid w:val="006A2258"/>
    <w:rsid w:val="006A22C5"/>
    <w:rsid w:val="006A2A0A"/>
    <w:rsid w:val="006A2C8A"/>
    <w:rsid w:val="006A3599"/>
    <w:rsid w:val="006A3E35"/>
    <w:rsid w:val="006A4038"/>
    <w:rsid w:val="006A4AB6"/>
    <w:rsid w:val="006A5DA5"/>
    <w:rsid w:val="006A6E7A"/>
    <w:rsid w:val="006A6F9C"/>
    <w:rsid w:val="006A70D6"/>
    <w:rsid w:val="006A76AE"/>
    <w:rsid w:val="006B07C3"/>
    <w:rsid w:val="006B1382"/>
    <w:rsid w:val="006B156F"/>
    <w:rsid w:val="006B2263"/>
    <w:rsid w:val="006B2398"/>
    <w:rsid w:val="006B2DAE"/>
    <w:rsid w:val="006B33A7"/>
    <w:rsid w:val="006B4136"/>
    <w:rsid w:val="006B4779"/>
    <w:rsid w:val="006B4793"/>
    <w:rsid w:val="006B513E"/>
    <w:rsid w:val="006B5580"/>
    <w:rsid w:val="006B569B"/>
    <w:rsid w:val="006B6DF2"/>
    <w:rsid w:val="006B793E"/>
    <w:rsid w:val="006C0E14"/>
    <w:rsid w:val="006C0F3F"/>
    <w:rsid w:val="006C1E97"/>
    <w:rsid w:val="006C408D"/>
    <w:rsid w:val="006C4382"/>
    <w:rsid w:val="006C492E"/>
    <w:rsid w:val="006C539C"/>
    <w:rsid w:val="006C53A3"/>
    <w:rsid w:val="006C6774"/>
    <w:rsid w:val="006C72F5"/>
    <w:rsid w:val="006C77C0"/>
    <w:rsid w:val="006D07ED"/>
    <w:rsid w:val="006D0DFE"/>
    <w:rsid w:val="006D14E5"/>
    <w:rsid w:val="006D25EA"/>
    <w:rsid w:val="006D27B8"/>
    <w:rsid w:val="006D2B9A"/>
    <w:rsid w:val="006D39B8"/>
    <w:rsid w:val="006D3FBB"/>
    <w:rsid w:val="006D3FF8"/>
    <w:rsid w:val="006D4CAC"/>
    <w:rsid w:val="006D4F9E"/>
    <w:rsid w:val="006D5575"/>
    <w:rsid w:val="006D5BEB"/>
    <w:rsid w:val="006D5F2D"/>
    <w:rsid w:val="006D64BE"/>
    <w:rsid w:val="006D68D4"/>
    <w:rsid w:val="006D74F6"/>
    <w:rsid w:val="006D7A85"/>
    <w:rsid w:val="006E0E1F"/>
    <w:rsid w:val="006E1449"/>
    <w:rsid w:val="006E15E6"/>
    <w:rsid w:val="006E3FDB"/>
    <w:rsid w:val="006E4070"/>
    <w:rsid w:val="006E6131"/>
    <w:rsid w:val="006E6B00"/>
    <w:rsid w:val="006E71C8"/>
    <w:rsid w:val="006E7B99"/>
    <w:rsid w:val="006E7FAA"/>
    <w:rsid w:val="006F0350"/>
    <w:rsid w:val="006F0C62"/>
    <w:rsid w:val="006F10A7"/>
    <w:rsid w:val="006F1154"/>
    <w:rsid w:val="006F1F98"/>
    <w:rsid w:val="006F23BB"/>
    <w:rsid w:val="006F27BB"/>
    <w:rsid w:val="006F3AE9"/>
    <w:rsid w:val="006F3EED"/>
    <w:rsid w:val="006F4104"/>
    <w:rsid w:val="006F6796"/>
    <w:rsid w:val="0070080A"/>
    <w:rsid w:val="00701073"/>
    <w:rsid w:val="0070146E"/>
    <w:rsid w:val="00701FA3"/>
    <w:rsid w:val="00701FD3"/>
    <w:rsid w:val="0070203D"/>
    <w:rsid w:val="00702500"/>
    <w:rsid w:val="007025DD"/>
    <w:rsid w:val="00702E09"/>
    <w:rsid w:val="00702F9A"/>
    <w:rsid w:val="007043FB"/>
    <w:rsid w:val="00704680"/>
    <w:rsid w:val="007048B8"/>
    <w:rsid w:val="00704F76"/>
    <w:rsid w:val="00705F8F"/>
    <w:rsid w:val="00706D1E"/>
    <w:rsid w:val="00706F69"/>
    <w:rsid w:val="00707104"/>
    <w:rsid w:val="00707C3A"/>
    <w:rsid w:val="00710198"/>
    <w:rsid w:val="00711547"/>
    <w:rsid w:val="00711FB0"/>
    <w:rsid w:val="0071280A"/>
    <w:rsid w:val="00712BBA"/>
    <w:rsid w:val="0071331B"/>
    <w:rsid w:val="007158E1"/>
    <w:rsid w:val="00717AD0"/>
    <w:rsid w:val="00717E61"/>
    <w:rsid w:val="00720201"/>
    <w:rsid w:val="00720A0E"/>
    <w:rsid w:val="00720ED0"/>
    <w:rsid w:val="007226F2"/>
    <w:rsid w:val="00722CAF"/>
    <w:rsid w:val="007243CE"/>
    <w:rsid w:val="00724E11"/>
    <w:rsid w:val="00725302"/>
    <w:rsid w:val="00730C1E"/>
    <w:rsid w:val="00731202"/>
    <w:rsid w:val="00731E1B"/>
    <w:rsid w:val="00732EB7"/>
    <w:rsid w:val="0073347F"/>
    <w:rsid w:val="00733E50"/>
    <w:rsid w:val="0073410B"/>
    <w:rsid w:val="0073441F"/>
    <w:rsid w:val="00734BCC"/>
    <w:rsid w:val="0073583F"/>
    <w:rsid w:val="00736735"/>
    <w:rsid w:val="00736F2A"/>
    <w:rsid w:val="007371EF"/>
    <w:rsid w:val="00737F61"/>
    <w:rsid w:val="007402F8"/>
    <w:rsid w:val="007409A6"/>
    <w:rsid w:val="00741E08"/>
    <w:rsid w:val="0074213F"/>
    <w:rsid w:val="007427F7"/>
    <w:rsid w:val="00743C3C"/>
    <w:rsid w:val="00743CAB"/>
    <w:rsid w:val="00744C5E"/>
    <w:rsid w:val="00745022"/>
    <w:rsid w:val="007450FF"/>
    <w:rsid w:val="007460A2"/>
    <w:rsid w:val="0074610D"/>
    <w:rsid w:val="0074700F"/>
    <w:rsid w:val="00750A78"/>
    <w:rsid w:val="007519F2"/>
    <w:rsid w:val="00751C9C"/>
    <w:rsid w:val="00752838"/>
    <w:rsid w:val="00752C65"/>
    <w:rsid w:val="00753CE1"/>
    <w:rsid w:val="007542D6"/>
    <w:rsid w:val="0075781E"/>
    <w:rsid w:val="007603F4"/>
    <w:rsid w:val="00760ED4"/>
    <w:rsid w:val="0076113F"/>
    <w:rsid w:val="007612B9"/>
    <w:rsid w:val="00761950"/>
    <w:rsid w:val="00762492"/>
    <w:rsid w:val="00762B19"/>
    <w:rsid w:val="00764FBB"/>
    <w:rsid w:val="00765F78"/>
    <w:rsid w:val="00766340"/>
    <w:rsid w:val="00766607"/>
    <w:rsid w:val="007705CA"/>
    <w:rsid w:val="00770DF5"/>
    <w:rsid w:val="00772B09"/>
    <w:rsid w:val="007747A5"/>
    <w:rsid w:val="00776425"/>
    <w:rsid w:val="00780081"/>
    <w:rsid w:val="0078072E"/>
    <w:rsid w:val="00780767"/>
    <w:rsid w:val="00780894"/>
    <w:rsid w:val="00780F43"/>
    <w:rsid w:val="00780F6F"/>
    <w:rsid w:val="00781A5D"/>
    <w:rsid w:val="007844CF"/>
    <w:rsid w:val="00785CF8"/>
    <w:rsid w:val="0078624B"/>
    <w:rsid w:val="00787291"/>
    <w:rsid w:val="00790242"/>
    <w:rsid w:val="00790C7A"/>
    <w:rsid w:val="00790E19"/>
    <w:rsid w:val="007910B3"/>
    <w:rsid w:val="0079154D"/>
    <w:rsid w:val="007915B1"/>
    <w:rsid w:val="007921C3"/>
    <w:rsid w:val="00792488"/>
    <w:rsid w:val="0079309D"/>
    <w:rsid w:val="00793476"/>
    <w:rsid w:val="00793A5E"/>
    <w:rsid w:val="0079400C"/>
    <w:rsid w:val="0079415B"/>
    <w:rsid w:val="0079548E"/>
    <w:rsid w:val="0079581C"/>
    <w:rsid w:val="007958AB"/>
    <w:rsid w:val="007958E6"/>
    <w:rsid w:val="00795A9A"/>
    <w:rsid w:val="007A041D"/>
    <w:rsid w:val="007A0724"/>
    <w:rsid w:val="007A0822"/>
    <w:rsid w:val="007A14B6"/>
    <w:rsid w:val="007A1BAA"/>
    <w:rsid w:val="007A1D07"/>
    <w:rsid w:val="007A223A"/>
    <w:rsid w:val="007A28A1"/>
    <w:rsid w:val="007A3146"/>
    <w:rsid w:val="007A5E5A"/>
    <w:rsid w:val="007A7C05"/>
    <w:rsid w:val="007B0224"/>
    <w:rsid w:val="007B063B"/>
    <w:rsid w:val="007B1461"/>
    <w:rsid w:val="007B14E9"/>
    <w:rsid w:val="007B1582"/>
    <w:rsid w:val="007B178A"/>
    <w:rsid w:val="007B3B92"/>
    <w:rsid w:val="007B525A"/>
    <w:rsid w:val="007B5ABC"/>
    <w:rsid w:val="007B6150"/>
    <w:rsid w:val="007B6E29"/>
    <w:rsid w:val="007B7656"/>
    <w:rsid w:val="007C0ED7"/>
    <w:rsid w:val="007C2B19"/>
    <w:rsid w:val="007C3620"/>
    <w:rsid w:val="007C3C31"/>
    <w:rsid w:val="007C537D"/>
    <w:rsid w:val="007C631C"/>
    <w:rsid w:val="007C7041"/>
    <w:rsid w:val="007C7279"/>
    <w:rsid w:val="007C7B14"/>
    <w:rsid w:val="007D0AFF"/>
    <w:rsid w:val="007D1112"/>
    <w:rsid w:val="007D24B1"/>
    <w:rsid w:val="007D29E7"/>
    <w:rsid w:val="007D521A"/>
    <w:rsid w:val="007D5712"/>
    <w:rsid w:val="007D6E76"/>
    <w:rsid w:val="007D7162"/>
    <w:rsid w:val="007D72DB"/>
    <w:rsid w:val="007D734F"/>
    <w:rsid w:val="007E0690"/>
    <w:rsid w:val="007E121C"/>
    <w:rsid w:val="007E1461"/>
    <w:rsid w:val="007E1C81"/>
    <w:rsid w:val="007E1FD8"/>
    <w:rsid w:val="007E25B3"/>
    <w:rsid w:val="007E5237"/>
    <w:rsid w:val="007E5378"/>
    <w:rsid w:val="007E54FB"/>
    <w:rsid w:val="007E5E2B"/>
    <w:rsid w:val="007E75FD"/>
    <w:rsid w:val="007F14DE"/>
    <w:rsid w:val="007F2879"/>
    <w:rsid w:val="007F4360"/>
    <w:rsid w:val="007F43BE"/>
    <w:rsid w:val="007F5EAF"/>
    <w:rsid w:val="007F69A1"/>
    <w:rsid w:val="007F6BF8"/>
    <w:rsid w:val="007F7994"/>
    <w:rsid w:val="007F7B1E"/>
    <w:rsid w:val="00800885"/>
    <w:rsid w:val="008015DA"/>
    <w:rsid w:val="0080162E"/>
    <w:rsid w:val="00801BFA"/>
    <w:rsid w:val="0080271B"/>
    <w:rsid w:val="00802EB5"/>
    <w:rsid w:val="00803912"/>
    <w:rsid w:val="00803C2E"/>
    <w:rsid w:val="008049FD"/>
    <w:rsid w:val="00804A70"/>
    <w:rsid w:val="008057D2"/>
    <w:rsid w:val="008101E4"/>
    <w:rsid w:val="008105AD"/>
    <w:rsid w:val="00811469"/>
    <w:rsid w:val="00811B44"/>
    <w:rsid w:val="00812508"/>
    <w:rsid w:val="00812C2B"/>
    <w:rsid w:val="00812D1F"/>
    <w:rsid w:val="0081412B"/>
    <w:rsid w:val="008144C6"/>
    <w:rsid w:val="00814797"/>
    <w:rsid w:val="0081494A"/>
    <w:rsid w:val="0081512F"/>
    <w:rsid w:val="00815326"/>
    <w:rsid w:val="008155C5"/>
    <w:rsid w:val="00816278"/>
    <w:rsid w:val="00816B18"/>
    <w:rsid w:val="0082036E"/>
    <w:rsid w:val="00820868"/>
    <w:rsid w:val="008210B8"/>
    <w:rsid w:val="008213AD"/>
    <w:rsid w:val="00822160"/>
    <w:rsid w:val="008230D8"/>
    <w:rsid w:val="00823523"/>
    <w:rsid w:val="00823A7B"/>
    <w:rsid w:val="00824785"/>
    <w:rsid w:val="008248F3"/>
    <w:rsid w:val="008255B9"/>
    <w:rsid w:val="00827587"/>
    <w:rsid w:val="00827F6A"/>
    <w:rsid w:val="008303AE"/>
    <w:rsid w:val="00831FCB"/>
    <w:rsid w:val="00832B66"/>
    <w:rsid w:val="00833211"/>
    <w:rsid w:val="008359F5"/>
    <w:rsid w:val="0083662C"/>
    <w:rsid w:val="00836A84"/>
    <w:rsid w:val="00836C1B"/>
    <w:rsid w:val="00836D24"/>
    <w:rsid w:val="00837584"/>
    <w:rsid w:val="008376C0"/>
    <w:rsid w:val="008404CE"/>
    <w:rsid w:val="00840873"/>
    <w:rsid w:val="00841155"/>
    <w:rsid w:val="0084222C"/>
    <w:rsid w:val="008426A1"/>
    <w:rsid w:val="00842C64"/>
    <w:rsid w:val="00842F21"/>
    <w:rsid w:val="00842FB7"/>
    <w:rsid w:val="00843385"/>
    <w:rsid w:val="00843E0E"/>
    <w:rsid w:val="0084436E"/>
    <w:rsid w:val="00844427"/>
    <w:rsid w:val="00844FC0"/>
    <w:rsid w:val="0084527D"/>
    <w:rsid w:val="008454E1"/>
    <w:rsid w:val="00846AE4"/>
    <w:rsid w:val="0085354F"/>
    <w:rsid w:val="0085375F"/>
    <w:rsid w:val="00853888"/>
    <w:rsid w:val="00853DB5"/>
    <w:rsid w:val="0085403C"/>
    <w:rsid w:val="00854254"/>
    <w:rsid w:val="008542D1"/>
    <w:rsid w:val="0085487E"/>
    <w:rsid w:val="00854A6A"/>
    <w:rsid w:val="00855485"/>
    <w:rsid w:val="008556BC"/>
    <w:rsid w:val="0085624D"/>
    <w:rsid w:val="00857279"/>
    <w:rsid w:val="00857463"/>
    <w:rsid w:val="008578F3"/>
    <w:rsid w:val="00860B33"/>
    <w:rsid w:val="0086136F"/>
    <w:rsid w:val="008613F3"/>
    <w:rsid w:val="00862227"/>
    <w:rsid w:val="00862612"/>
    <w:rsid w:val="0086449B"/>
    <w:rsid w:val="00864A28"/>
    <w:rsid w:val="00864C2D"/>
    <w:rsid w:val="008650C0"/>
    <w:rsid w:val="00865BEC"/>
    <w:rsid w:val="00865CD0"/>
    <w:rsid w:val="00866105"/>
    <w:rsid w:val="00866B83"/>
    <w:rsid w:val="0086704F"/>
    <w:rsid w:val="0087002C"/>
    <w:rsid w:val="008713A8"/>
    <w:rsid w:val="00875339"/>
    <w:rsid w:val="0087680A"/>
    <w:rsid w:val="008773EF"/>
    <w:rsid w:val="008809C0"/>
    <w:rsid w:val="00881052"/>
    <w:rsid w:val="0088127D"/>
    <w:rsid w:val="00881B09"/>
    <w:rsid w:val="0088204C"/>
    <w:rsid w:val="0088330A"/>
    <w:rsid w:val="00883EAA"/>
    <w:rsid w:val="00884523"/>
    <w:rsid w:val="00884711"/>
    <w:rsid w:val="008853A8"/>
    <w:rsid w:val="00890EBD"/>
    <w:rsid w:val="00891177"/>
    <w:rsid w:val="008917CF"/>
    <w:rsid w:val="00891850"/>
    <w:rsid w:val="00891B8A"/>
    <w:rsid w:val="00891FF1"/>
    <w:rsid w:val="00892764"/>
    <w:rsid w:val="0089420F"/>
    <w:rsid w:val="00894523"/>
    <w:rsid w:val="00894575"/>
    <w:rsid w:val="00894804"/>
    <w:rsid w:val="00894E28"/>
    <w:rsid w:val="00895E92"/>
    <w:rsid w:val="008963A6"/>
    <w:rsid w:val="00896538"/>
    <w:rsid w:val="00897614"/>
    <w:rsid w:val="008A0384"/>
    <w:rsid w:val="008A2673"/>
    <w:rsid w:val="008A289F"/>
    <w:rsid w:val="008A408D"/>
    <w:rsid w:val="008A43A3"/>
    <w:rsid w:val="008A4949"/>
    <w:rsid w:val="008A4F42"/>
    <w:rsid w:val="008A6420"/>
    <w:rsid w:val="008A724B"/>
    <w:rsid w:val="008A7BAA"/>
    <w:rsid w:val="008A7BE6"/>
    <w:rsid w:val="008B0573"/>
    <w:rsid w:val="008B072C"/>
    <w:rsid w:val="008B2180"/>
    <w:rsid w:val="008B31DB"/>
    <w:rsid w:val="008B3496"/>
    <w:rsid w:val="008B4922"/>
    <w:rsid w:val="008B5420"/>
    <w:rsid w:val="008B552F"/>
    <w:rsid w:val="008B5711"/>
    <w:rsid w:val="008B5DCC"/>
    <w:rsid w:val="008B5EF7"/>
    <w:rsid w:val="008B62AA"/>
    <w:rsid w:val="008B648A"/>
    <w:rsid w:val="008B6500"/>
    <w:rsid w:val="008B6574"/>
    <w:rsid w:val="008B76BF"/>
    <w:rsid w:val="008B78BF"/>
    <w:rsid w:val="008C0828"/>
    <w:rsid w:val="008C0D4B"/>
    <w:rsid w:val="008C1029"/>
    <w:rsid w:val="008C1F55"/>
    <w:rsid w:val="008C25B3"/>
    <w:rsid w:val="008C2639"/>
    <w:rsid w:val="008C27A8"/>
    <w:rsid w:val="008C307F"/>
    <w:rsid w:val="008C5A1E"/>
    <w:rsid w:val="008C6A1D"/>
    <w:rsid w:val="008C6B27"/>
    <w:rsid w:val="008C7337"/>
    <w:rsid w:val="008C7F69"/>
    <w:rsid w:val="008D24CB"/>
    <w:rsid w:val="008D293E"/>
    <w:rsid w:val="008D3946"/>
    <w:rsid w:val="008D44F2"/>
    <w:rsid w:val="008D4A2B"/>
    <w:rsid w:val="008D5407"/>
    <w:rsid w:val="008D5B7B"/>
    <w:rsid w:val="008E0400"/>
    <w:rsid w:val="008E1121"/>
    <w:rsid w:val="008E189E"/>
    <w:rsid w:val="008E1CC0"/>
    <w:rsid w:val="008E3031"/>
    <w:rsid w:val="008E3183"/>
    <w:rsid w:val="008E32DE"/>
    <w:rsid w:val="008E39E1"/>
    <w:rsid w:val="008E4CDB"/>
    <w:rsid w:val="008E5295"/>
    <w:rsid w:val="008E68C6"/>
    <w:rsid w:val="008E6933"/>
    <w:rsid w:val="008E6BCB"/>
    <w:rsid w:val="008E6F5F"/>
    <w:rsid w:val="008F0443"/>
    <w:rsid w:val="008F0572"/>
    <w:rsid w:val="008F132F"/>
    <w:rsid w:val="008F13D4"/>
    <w:rsid w:val="008F24B8"/>
    <w:rsid w:val="008F25B0"/>
    <w:rsid w:val="008F25CA"/>
    <w:rsid w:val="008F27FE"/>
    <w:rsid w:val="008F2EEF"/>
    <w:rsid w:val="008F31C1"/>
    <w:rsid w:val="008F3651"/>
    <w:rsid w:val="008F3A58"/>
    <w:rsid w:val="008F6B05"/>
    <w:rsid w:val="008F753A"/>
    <w:rsid w:val="008F790D"/>
    <w:rsid w:val="00900124"/>
    <w:rsid w:val="00901DDE"/>
    <w:rsid w:val="00902F49"/>
    <w:rsid w:val="00902F59"/>
    <w:rsid w:val="00903768"/>
    <w:rsid w:val="009037F7"/>
    <w:rsid w:val="00904463"/>
    <w:rsid w:val="00904A4B"/>
    <w:rsid w:val="009057E5"/>
    <w:rsid w:val="00906504"/>
    <w:rsid w:val="009069B6"/>
    <w:rsid w:val="00906E4E"/>
    <w:rsid w:val="009077C2"/>
    <w:rsid w:val="00907B9C"/>
    <w:rsid w:val="009106FC"/>
    <w:rsid w:val="00911340"/>
    <w:rsid w:val="00911AB3"/>
    <w:rsid w:val="0091219F"/>
    <w:rsid w:val="009127A1"/>
    <w:rsid w:val="00913251"/>
    <w:rsid w:val="0091340D"/>
    <w:rsid w:val="00914CFB"/>
    <w:rsid w:val="00914E0F"/>
    <w:rsid w:val="009158F8"/>
    <w:rsid w:val="0091674C"/>
    <w:rsid w:val="00917D1B"/>
    <w:rsid w:val="00920714"/>
    <w:rsid w:val="00920970"/>
    <w:rsid w:val="00920E3D"/>
    <w:rsid w:val="009220C7"/>
    <w:rsid w:val="009228A1"/>
    <w:rsid w:val="00922D5D"/>
    <w:rsid w:val="00922FC5"/>
    <w:rsid w:val="009236A0"/>
    <w:rsid w:val="00923803"/>
    <w:rsid w:val="00923AE6"/>
    <w:rsid w:val="00923FE1"/>
    <w:rsid w:val="009242E3"/>
    <w:rsid w:val="00924FDE"/>
    <w:rsid w:val="00925175"/>
    <w:rsid w:val="00925A7B"/>
    <w:rsid w:val="00927845"/>
    <w:rsid w:val="00927C99"/>
    <w:rsid w:val="009322A6"/>
    <w:rsid w:val="009322BB"/>
    <w:rsid w:val="00932794"/>
    <w:rsid w:val="009330CE"/>
    <w:rsid w:val="00933C09"/>
    <w:rsid w:val="00934233"/>
    <w:rsid w:val="00934517"/>
    <w:rsid w:val="00934938"/>
    <w:rsid w:val="0093522F"/>
    <w:rsid w:val="00935CAE"/>
    <w:rsid w:val="009362C4"/>
    <w:rsid w:val="00937BCD"/>
    <w:rsid w:val="00937CF2"/>
    <w:rsid w:val="009402AE"/>
    <w:rsid w:val="009405E7"/>
    <w:rsid w:val="009408F0"/>
    <w:rsid w:val="00940A82"/>
    <w:rsid w:val="00942788"/>
    <w:rsid w:val="00942D88"/>
    <w:rsid w:val="0094349B"/>
    <w:rsid w:val="00943751"/>
    <w:rsid w:val="00943771"/>
    <w:rsid w:val="00943DF8"/>
    <w:rsid w:val="00945BAF"/>
    <w:rsid w:val="00945BC1"/>
    <w:rsid w:val="009462E7"/>
    <w:rsid w:val="00946F78"/>
    <w:rsid w:val="00947298"/>
    <w:rsid w:val="00947E9E"/>
    <w:rsid w:val="00950187"/>
    <w:rsid w:val="00951008"/>
    <w:rsid w:val="0095348B"/>
    <w:rsid w:val="0095733D"/>
    <w:rsid w:val="00960053"/>
    <w:rsid w:val="0096095A"/>
    <w:rsid w:val="00960B4D"/>
    <w:rsid w:val="00960C00"/>
    <w:rsid w:val="00960FD5"/>
    <w:rsid w:val="0096148F"/>
    <w:rsid w:val="009615A0"/>
    <w:rsid w:val="00961918"/>
    <w:rsid w:val="00962806"/>
    <w:rsid w:val="00962D63"/>
    <w:rsid w:val="0096591C"/>
    <w:rsid w:val="00966087"/>
    <w:rsid w:val="009673DD"/>
    <w:rsid w:val="00967AF2"/>
    <w:rsid w:val="00967D89"/>
    <w:rsid w:val="00970D1D"/>
    <w:rsid w:val="0097102D"/>
    <w:rsid w:val="009712AD"/>
    <w:rsid w:val="0097321F"/>
    <w:rsid w:val="00973B38"/>
    <w:rsid w:val="00974E4F"/>
    <w:rsid w:val="00977A72"/>
    <w:rsid w:val="00981C5F"/>
    <w:rsid w:val="00982158"/>
    <w:rsid w:val="009821AB"/>
    <w:rsid w:val="00982A41"/>
    <w:rsid w:val="009839E2"/>
    <w:rsid w:val="00986360"/>
    <w:rsid w:val="009864C0"/>
    <w:rsid w:val="009878BB"/>
    <w:rsid w:val="00987F00"/>
    <w:rsid w:val="00990260"/>
    <w:rsid w:val="009916DB"/>
    <w:rsid w:val="0099225C"/>
    <w:rsid w:val="00993172"/>
    <w:rsid w:val="00993EA6"/>
    <w:rsid w:val="00993F09"/>
    <w:rsid w:val="00994AA7"/>
    <w:rsid w:val="00994EBB"/>
    <w:rsid w:val="009965B1"/>
    <w:rsid w:val="009973F6"/>
    <w:rsid w:val="009979A5"/>
    <w:rsid w:val="009A01B9"/>
    <w:rsid w:val="009A092D"/>
    <w:rsid w:val="009A0D64"/>
    <w:rsid w:val="009A22ED"/>
    <w:rsid w:val="009A2498"/>
    <w:rsid w:val="009A419A"/>
    <w:rsid w:val="009A496C"/>
    <w:rsid w:val="009A6663"/>
    <w:rsid w:val="009A6E73"/>
    <w:rsid w:val="009A6F98"/>
    <w:rsid w:val="009A757B"/>
    <w:rsid w:val="009A76D6"/>
    <w:rsid w:val="009B0652"/>
    <w:rsid w:val="009B1128"/>
    <w:rsid w:val="009B1654"/>
    <w:rsid w:val="009B1B13"/>
    <w:rsid w:val="009B333F"/>
    <w:rsid w:val="009B35B5"/>
    <w:rsid w:val="009B3EAE"/>
    <w:rsid w:val="009B4685"/>
    <w:rsid w:val="009B47A1"/>
    <w:rsid w:val="009B49B5"/>
    <w:rsid w:val="009B5066"/>
    <w:rsid w:val="009B5CB5"/>
    <w:rsid w:val="009B612B"/>
    <w:rsid w:val="009B6624"/>
    <w:rsid w:val="009B6659"/>
    <w:rsid w:val="009B743F"/>
    <w:rsid w:val="009B74F7"/>
    <w:rsid w:val="009B798E"/>
    <w:rsid w:val="009C029A"/>
    <w:rsid w:val="009C0330"/>
    <w:rsid w:val="009C1450"/>
    <w:rsid w:val="009C1599"/>
    <w:rsid w:val="009C204C"/>
    <w:rsid w:val="009C3220"/>
    <w:rsid w:val="009C3422"/>
    <w:rsid w:val="009C399A"/>
    <w:rsid w:val="009C4760"/>
    <w:rsid w:val="009C4EE7"/>
    <w:rsid w:val="009C57F8"/>
    <w:rsid w:val="009C5A48"/>
    <w:rsid w:val="009C635C"/>
    <w:rsid w:val="009C6A4A"/>
    <w:rsid w:val="009C7166"/>
    <w:rsid w:val="009C71AE"/>
    <w:rsid w:val="009C7549"/>
    <w:rsid w:val="009C7ACF"/>
    <w:rsid w:val="009D1580"/>
    <w:rsid w:val="009D173B"/>
    <w:rsid w:val="009D1AF4"/>
    <w:rsid w:val="009D3C09"/>
    <w:rsid w:val="009D52E1"/>
    <w:rsid w:val="009D5314"/>
    <w:rsid w:val="009D57DD"/>
    <w:rsid w:val="009D63CA"/>
    <w:rsid w:val="009D7371"/>
    <w:rsid w:val="009D7701"/>
    <w:rsid w:val="009E08F8"/>
    <w:rsid w:val="009E0A83"/>
    <w:rsid w:val="009E0BA4"/>
    <w:rsid w:val="009E1355"/>
    <w:rsid w:val="009E1B8D"/>
    <w:rsid w:val="009E1DD1"/>
    <w:rsid w:val="009E215C"/>
    <w:rsid w:val="009E2995"/>
    <w:rsid w:val="009E2D77"/>
    <w:rsid w:val="009E3859"/>
    <w:rsid w:val="009E3CB4"/>
    <w:rsid w:val="009E43EC"/>
    <w:rsid w:val="009E6277"/>
    <w:rsid w:val="009E62CE"/>
    <w:rsid w:val="009E69E9"/>
    <w:rsid w:val="009E75EA"/>
    <w:rsid w:val="009E7651"/>
    <w:rsid w:val="009E777D"/>
    <w:rsid w:val="009E7865"/>
    <w:rsid w:val="009F092A"/>
    <w:rsid w:val="009F0A0B"/>
    <w:rsid w:val="009F12A8"/>
    <w:rsid w:val="009F1952"/>
    <w:rsid w:val="009F1A08"/>
    <w:rsid w:val="009F24AD"/>
    <w:rsid w:val="009F2B1C"/>
    <w:rsid w:val="009F318A"/>
    <w:rsid w:val="009F37D0"/>
    <w:rsid w:val="009F4167"/>
    <w:rsid w:val="009F5E02"/>
    <w:rsid w:val="009F63FE"/>
    <w:rsid w:val="009F68D8"/>
    <w:rsid w:val="00A00FB1"/>
    <w:rsid w:val="00A01771"/>
    <w:rsid w:val="00A018DA"/>
    <w:rsid w:val="00A01D61"/>
    <w:rsid w:val="00A02A94"/>
    <w:rsid w:val="00A02AC3"/>
    <w:rsid w:val="00A03253"/>
    <w:rsid w:val="00A03879"/>
    <w:rsid w:val="00A04333"/>
    <w:rsid w:val="00A05128"/>
    <w:rsid w:val="00A055A5"/>
    <w:rsid w:val="00A05929"/>
    <w:rsid w:val="00A068F6"/>
    <w:rsid w:val="00A06F53"/>
    <w:rsid w:val="00A0715D"/>
    <w:rsid w:val="00A10338"/>
    <w:rsid w:val="00A10E8A"/>
    <w:rsid w:val="00A11AFD"/>
    <w:rsid w:val="00A11E3D"/>
    <w:rsid w:val="00A1258D"/>
    <w:rsid w:val="00A126C3"/>
    <w:rsid w:val="00A14041"/>
    <w:rsid w:val="00A14B7B"/>
    <w:rsid w:val="00A157AF"/>
    <w:rsid w:val="00A1601A"/>
    <w:rsid w:val="00A17F74"/>
    <w:rsid w:val="00A22032"/>
    <w:rsid w:val="00A22975"/>
    <w:rsid w:val="00A22CCD"/>
    <w:rsid w:val="00A22D55"/>
    <w:rsid w:val="00A23291"/>
    <w:rsid w:val="00A23763"/>
    <w:rsid w:val="00A240E2"/>
    <w:rsid w:val="00A24394"/>
    <w:rsid w:val="00A246C2"/>
    <w:rsid w:val="00A255F7"/>
    <w:rsid w:val="00A2579C"/>
    <w:rsid w:val="00A25F1B"/>
    <w:rsid w:val="00A276B1"/>
    <w:rsid w:val="00A30025"/>
    <w:rsid w:val="00A31B06"/>
    <w:rsid w:val="00A32E60"/>
    <w:rsid w:val="00A3318C"/>
    <w:rsid w:val="00A33A76"/>
    <w:rsid w:val="00A33CA7"/>
    <w:rsid w:val="00A3401E"/>
    <w:rsid w:val="00A344B7"/>
    <w:rsid w:val="00A34FA4"/>
    <w:rsid w:val="00A407EE"/>
    <w:rsid w:val="00A417C8"/>
    <w:rsid w:val="00A41A13"/>
    <w:rsid w:val="00A41FC1"/>
    <w:rsid w:val="00A4222A"/>
    <w:rsid w:val="00A423A3"/>
    <w:rsid w:val="00A4490C"/>
    <w:rsid w:val="00A44C1D"/>
    <w:rsid w:val="00A50769"/>
    <w:rsid w:val="00A50907"/>
    <w:rsid w:val="00A50989"/>
    <w:rsid w:val="00A51699"/>
    <w:rsid w:val="00A51768"/>
    <w:rsid w:val="00A51E64"/>
    <w:rsid w:val="00A525D9"/>
    <w:rsid w:val="00A52DA7"/>
    <w:rsid w:val="00A53C1D"/>
    <w:rsid w:val="00A53FCF"/>
    <w:rsid w:val="00A541AA"/>
    <w:rsid w:val="00A54558"/>
    <w:rsid w:val="00A5491C"/>
    <w:rsid w:val="00A54EA9"/>
    <w:rsid w:val="00A55081"/>
    <w:rsid w:val="00A57EFC"/>
    <w:rsid w:val="00A60B9D"/>
    <w:rsid w:val="00A60C11"/>
    <w:rsid w:val="00A61704"/>
    <w:rsid w:val="00A6203B"/>
    <w:rsid w:val="00A63984"/>
    <w:rsid w:val="00A63C28"/>
    <w:rsid w:val="00A644E6"/>
    <w:rsid w:val="00A64EAE"/>
    <w:rsid w:val="00A653D1"/>
    <w:rsid w:val="00A653EF"/>
    <w:rsid w:val="00A655D1"/>
    <w:rsid w:val="00A65A71"/>
    <w:rsid w:val="00A662D6"/>
    <w:rsid w:val="00A66915"/>
    <w:rsid w:val="00A673C4"/>
    <w:rsid w:val="00A67419"/>
    <w:rsid w:val="00A67A57"/>
    <w:rsid w:val="00A71A32"/>
    <w:rsid w:val="00A74851"/>
    <w:rsid w:val="00A75E50"/>
    <w:rsid w:val="00A76B91"/>
    <w:rsid w:val="00A77CFB"/>
    <w:rsid w:val="00A77EFC"/>
    <w:rsid w:val="00A77FA9"/>
    <w:rsid w:val="00A805F4"/>
    <w:rsid w:val="00A80D22"/>
    <w:rsid w:val="00A821FE"/>
    <w:rsid w:val="00A828E6"/>
    <w:rsid w:val="00A83DB4"/>
    <w:rsid w:val="00A840CB"/>
    <w:rsid w:val="00A86589"/>
    <w:rsid w:val="00A86C65"/>
    <w:rsid w:val="00A87B5F"/>
    <w:rsid w:val="00A87E5B"/>
    <w:rsid w:val="00A901B1"/>
    <w:rsid w:val="00A908EB"/>
    <w:rsid w:val="00A90FEF"/>
    <w:rsid w:val="00A91B4E"/>
    <w:rsid w:val="00A91D6F"/>
    <w:rsid w:val="00A91F32"/>
    <w:rsid w:val="00A926A4"/>
    <w:rsid w:val="00A92FE2"/>
    <w:rsid w:val="00A94968"/>
    <w:rsid w:val="00A94BF0"/>
    <w:rsid w:val="00A94C64"/>
    <w:rsid w:val="00A95142"/>
    <w:rsid w:val="00A95B37"/>
    <w:rsid w:val="00A96567"/>
    <w:rsid w:val="00A96A64"/>
    <w:rsid w:val="00A96AC7"/>
    <w:rsid w:val="00A9768D"/>
    <w:rsid w:val="00A978EB"/>
    <w:rsid w:val="00A97DAF"/>
    <w:rsid w:val="00A97DF5"/>
    <w:rsid w:val="00AA08C1"/>
    <w:rsid w:val="00AA0F7C"/>
    <w:rsid w:val="00AA24DB"/>
    <w:rsid w:val="00AA2564"/>
    <w:rsid w:val="00AA29EC"/>
    <w:rsid w:val="00AA2EE9"/>
    <w:rsid w:val="00AA4622"/>
    <w:rsid w:val="00AA4EF9"/>
    <w:rsid w:val="00AA5D32"/>
    <w:rsid w:val="00AB19EB"/>
    <w:rsid w:val="00AB1F67"/>
    <w:rsid w:val="00AB2679"/>
    <w:rsid w:val="00AB2DD8"/>
    <w:rsid w:val="00AB37BC"/>
    <w:rsid w:val="00AC0078"/>
    <w:rsid w:val="00AC0503"/>
    <w:rsid w:val="00AC0F4E"/>
    <w:rsid w:val="00AC21AE"/>
    <w:rsid w:val="00AC2479"/>
    <w:rsid w:val="00AC3FBF"/>
    <w:rsid w:val="00AC4ADA"/>
    <w:rsid w:val="00AC517D"/>
    <w:rsid w:val="00AC5E77"/>
    <w:rsid w:val="00AC7031"/>
    <w:rsid w:val="00AD0410"/>
    <w:rsid w:val="00AD0578"/>
    <w:rsid w:val="00AD068F"/>
    <w:rsid w:val="00AD0B68"/>
    <w:rsid w:val="00AD30C7"/>
    <w:rsid w:val="00AD39AF"/>
    <w:rsid w:val="00AD6AE8"/>
    <w:rsid w:val="00AD7785"/>
    <w:rsid w:val="00AD7DE2"/>
    <w:rsid w:val="00AE032A"/>
    <w:rsid w:val="00AE0F2F"/>
    <w:rsid w:val="00AE184D"/>
    <w:rsid w:val="00AE2A32"/>
    <w:rsid w:val="00AE4063"/>
    <w:rsid w:val="00AE4372"/>
    <w:rsid w:val="00AE468F"/>
    <w:rsid w:val="00AE4DFC"/>
    <w:rsid w:val="00AE545C"/>
    <w:rsid w:val="00AE5CAA"/>
    <w:rsid w:val="00AE6645"/>
    <w:rsid w:val="00AE79AC"/>
    <w:rsid w:val="00AF03E0"/>
    <w:rsid w:val="00AF0BA4"/>
    <w:rsid w:val="00AF113B"/>
    <w:rsid w:val="00AF25C5"/>
    <w:rsid w:val="00AF31EC"/>
    <w:rsid w:val="00AF35FD"/>
    <w:rsid w:val="00AF39CA"/>
    <w:rsid w:val="00AF4033"/>
    <w:rsid w:val="00AF42EE"/>
    <w:rsid w:val="00AF555B"/>
    <w:rsid w:val="00AF641D"/>
    <w:rsid w:val="00B0280A"/>
    <w:rsid w:val="00B03356"/>
    <w:rsid w:val="00B04DAC"/>
    <w:rsid w:val="00B070E6"/>
    <w:rsid w:val="00B073A8"/>
    <w:rsid w:val="00B075FB"/>
    <w:rsid w:val="00B07B5C"/>
    <w:rsid w:val="00B1074A"/>
    <w:rsid w:val="00B10979"/>
    <w:rsid w:val="00B12AB8"/>
    <w:rsid w:val="00B138C0"/>
    <w:rsid w:val="00B14131"/>
    <w:rsid w:val="00B14198"/>
    <w:rsid w:val="00B1437D"/>
    <w:rsid w:val="00B156B1"/>
    <w:rsid w:val="00B15C1C"/>
    <w:rsid w:val="00B162FF"/>
    <w:rsid w:val="00B17415"/>
    <w:rsid w:val="00B17665"/>
    <w:rsid w:val="00B21982"/>
    <w:rsid w:val="00B2256A"/>
    <w:rsid w:val="00B238E9"/>
    <w:rsid w:val="00B2570D"/>
    <w:rsid w:val="00B258BA"/>
    <w:rsid w:val="00B263A3"/>
    <w:rsid w:val="00B266B7"/>
    <w:rsid w:val="00B268F4"/>
    <w:rsid w:val="00B26A15"/>
    <w:rsid w:val="00B27819"/>
    <w:rsid w:val="00B27E91"/>
    <w:rsid w:val="00B305C5"/>
    <w:rsid w:val="00B30E69"/>
    <w:rsid w:val="00B312D0"/>
    <w:rsid w:val="00B315C9"/>
    <w:rsid w:val="00B31C83"/>
    <w:rsid w:val="00B32972"/>
    <w:rsid w:val="00B33BE2"/>
    <w:rsid w:val="00B33FE0"/>
    <w:rsid w:val="00B34E0E"/>
    <w:rsid w:val="00B34F3E"/>
    <w:rsid w:val="00B353E0"/>
    <w:rsid w:val="00B35EC1"/>
    <w:rsid w:val="00B362D9"/>
    <w:rsid w:val="00B40AAA"/>
    <w:rsid w:val="00B4179F"/>
    <w:rsid w:val="00B417B3"/>
    <w:rsid w:val="00B43259"/>
    <w:rsid w:val="00B43DD9"/>
    <w:rsid w:val="00B441C9"/>
    <w:rsid w:val="00B443F9"/>
    <w:rsid w:val="00B44959"/>
    <w:rsid w:val="00B44F49"/>
    <w:rsid w:val="00B454D0"/>
    <w:rsid w:val="00B46FC4"/>
    <w:rsid w:val="00B476BF"/>
    <w:rsid w:val="00B47E1B"/>
    <w:rsid w:val="00B47F30"/>
    <w:rsid w:val="00B502B3"/>
    <w:rsid w:val="00B50983"/>
    <w:rsid w:val="00B50A25"/>
    <w:rsid w:val="00B50F47"/>
    <w:rsid w:val="00B51EF6"/>
    <w:rsid w:val="00B5337D"/>
    <w:rsid w:val="00B5510D"/>
    <w:rsid w:val="00B57414"/>
    <w:rsid w:val="00B611C6"/>
    <w:rsid w:val="00B61D2A"/>
    <w:rsid w:val="00B6212A"/>
    <w:rsid w:val="00B62954"/>
    <w:rsid w:val="00B63F2C"/>
    <w:rsid w:val="00B64B92"/>
    <w:rsid w:val="00B64CB4"/>
    <w:rsid w:val="00B65837"/>
    <w:rsid w:val="00B667F5"/>
    <w:rsid w:val="00B67072"/>
    <w:rsid w:val="00B72F89"/>
    <w:rsid w:val="00B73079"/>
    <w:rsid w:val="00B741F8"/>
    <w:rsid w:val="00B745F9"/>
    <w:rsid w:val="00B761F7"/>
    <w:rsid w:val="00B7697B"/>
    <w:rsid w:val="00B77BE3"/>
    <w:rsid w:val="00B80798"/>
    <w:rsid w:val="00B8079A"/>
    <w:rsid w:val="00B80B95"/>
    <w:rsid w:val="00B81C4E"/>
    <w:rsid w:val="00B82313"/>
    <w:rsid w:val="00B826D3"/>
    <w:rsid w:val="00B83159"/>
    <w:rsid w:val="00B8316F"/>
    <w:rsid w:val="00B849C8"/>
    <w:rsid w:val="00B84ED1"/>
    <w:rsid w:val="00B87432"/>
    <w:rsid w:val="00B9034E"/>
    <w:rsid w:val="00B90570"/>
    <w:rsid w:val="00B909C4"/>
    <w:rsid w:val="00B91A17"/>
    <w:rsid w:val="00B91BE5"/>
    <w:rsid w:val="00B9282B"/>
    <w:rsid w:val="00B92A62"/>
    <w:rsid w:val="00B92D08"/>
    <w:rsid w:val="00B93ECD"/>
    <w:rsid w:val="00B94836"/>
    <w:rsid w:val="00B970C8"/>
    <w:rsid w:val="00B974CE"/>
    <w:rsid w:val="00BA0D14"/>
    <w:rsid w:val="00BA1448"/>
    <w:rsid w:val="00BA1B86"/>
    <w:rsid w:val="00BA1CFB"/>
    <w:rsid w:val="00BA205C"/>
    <w:rsid w:val="00BA20AC"/>
    <w:rsid w:val="00BA3001"/>
    <w:rsid w:val="00BA306E"/>
    <w:rsid w:val="00BA4A43"/>
    <w:rsid w:val="00BA5F31"/>
    <w:rsid w:val="00BA62D9"/>
    <w:rsid w:val="00BA66AF"/>
    <w:rsid w:val="00BA6B4B"/>
    <w:rsid w:val="00BA73C5"/>
    <w:rsid w:val="00BA7A6B"/>
    <w:rsid w:val="00BA7CA1"/>
    <w:rsid w:val="00BB0301"/>
    <w:rsid w:val="00BB04A0"/>
    <w:rsid w:val="00BB21C9"/>
    <w:rsid w:val="00BB4B24"/>
    <w:rsid w:val="00BB54F4"/>
    <w:rsid w:val="00BB5618"/>
    <w:rsid w:val="00BB59C4"/>
    <w:rsid w:val="00BB60C9"/>
    <w:rsid w:val="00BB6222"/>
    <w:rsid w:val="00BB6293"/>
    <w:rsid w:val="00BB6455"/>
    <w:rsid w:val="00BB648B"/>
    <w:rsid w:val="00BC04B0"/>
    <w:rsid w:val="00BC0A93"/>
    <w:rsid w:val="00BC13CD"/>
    <w:rsid w:val="00BC1455"/>
    <w:rsid w:val="00BC1AF7"/>
    <w:rsid w:val="00BC1C26"/>
    <w:rsid w:val="00BC1CC4"/>
    <w:rsid w:val="00BC2608"/>
    <w:rsid w:val="00BC2C3D"/>
    <w:rsid w:val="00BC2CDD"/>
    <w:rsid w:val="00BC3C88"/>
    <w:rsid w:val="00BC3E3B"/>
    <w:rsid w:val="00BC3FF9"/>
    <w:rsid w:val="00BC4582"/>
    <w:rsid w:val="00BC46E8"/>
    <w:rsid w:val="00BC4790"/>
    <w:rsid w:val="00BC4A8B"/>
    <w:rsid w:val="00BC559D"/>
    <w:rsid w:val="00BC6718"/>
    <w:rsid w:val="00BC71A6"/>
    <w:rsid w:val="00BD016C"/>
    <w:rsid w:val="00BD0424"/>
    <w:rsid w:val="00BD0D3C"/>
    <w:rsid w:val="00BD12E6"/>
    <w:rsid w:val="00BD21C1"/>
    <w:rsid w:val="00BD2662"/>
    <w:rsid w:val="00BD2E96"/>
    <w:rsid w:val="00BD3209"/>
    <w:rsid w:val="00BD3426"/>
    <w:rsid w:val="00BD4524"/>
    <w:rsid w:val="00BD5B8F"/>
    <w:rsid w:val="00BE0021"/>
    <w:rsid w:val="00BE0024"/>
    <w:rsid w:val="00BE0A48"/>
    <w:rsid w:val="00BE0AA9"/>
    <w:rsid w:val="00BE2B81"/>
    <w:rsid w:val="00BE2C92"/>
    <w:rsid w:val="00BE3605"/>
    <w:rsid w:val="00BE3873"/>
    <w:rsid w:val="00BE3EE4"/>
    <w:rsid w:val="00BE40C5"/>
    <w:rsid w:val="00BE4786"/>
    <w:rsid w:val="00BE4EE2"/>
    <w:rsid w:val="00BE5557"/>
    <w:rsid w:val="00BE62D6"/>
    <w:rsid w:val="00BE6620"/>
    <w:rsid w:val="00BE6753"/>
    <w:rsid w:val="00BE6897"/>
    <w:rsid w:val="00BE6B83"/>
    <w:rsid w:val="00BE725E"/>
    <w:rsid w:val="00BF089D"/>
    <w:rsid w:val="00BF115A"/>
    <w:rsid w:val="00BF2160"/>
    <w:rsid w:val="00BF28D3"/>
    <w:rsid w:val="00BF34FD"/>
    <w:rsid w:val="00BF44D0"/>
    <w:rsid w:val="00BF47A2"/>
    <w:rsid w:val="00BF4C79"/>
    <w:rsid w:val="00BF50F5"/>
    <w:rsid w:val="00BF600B"/>
    <w:rsid w:val="00BF629D"/>
    <w:rsid w:val="00BF6A37"/>
    <w:rsid w:val="00BF6B3E"/>
    <w:rsid w:val="00BF6F3A"/>
    <w:rsid w:val="00BF7877"/>
    <w:rsid w:val="00C000C3"/>
    <w:rsid w:val="00C00124"/>
    <w:rsid w:val="00C00D1E"/>
    <w:rsid w:val="00C00D4F"/>
    <w:rsid w:val="00C011B8"/>
    <w:rsid w:val="00C01772"/>
    <w:rsid w:val="00C01773"/>
    <w:rsid w:val="00C02EA1"/>
    <w:rsid w:val="00C03AAA"/>
    <w:rsid w:val="00C052EE"/>
    <w:rsid w:val="00C064B7"/>
    <w:rsid w:val="00C06850"/>
    <w:rsid w:val="00C07D9A"/>
    <w:rsid w:val="00C10E6A"/>
    <w:rsid w:val="00C11865"/>
    <w:rsid w:val="00C137FF"/>
    <w:rsid w:val="00C13C54"/>
    <w:rsid w:val="00C1400C"/>
    <w:rsid w:val="00C145EE"/>
    <w:rsid w:val="00C15EFA"/>
    <w:rsid w:val="00C16B43"/>
    <w:rsid w:val="00C16F35"/>
    <w:rsid w:val="00C17DEE"/>
    <w:rsid w:val="00C20B41"/>
    <w:rsid w:val="00C20B80"/>
    <w:rsid w:val="00C20C55"/>
    <w:rsid w:val="00C216DF"/>
    <w:rsid w:val="00C221D3"/>
    <w:rsid w:val="00C22290"/>
    <w:rsid w:val="00C2288E"/>
    <w:rsid w:val="00C2573E"/>
    <w:rsid w:val="00C25DE3"/>
    <w:rsid w:val="00C2644D"/>
    <w:rsid w:val="00C26C82"/>
    <w:rsid w:val="00C27F95"/>
    <w:rsid w:val="00C30033"/>
    <w:rsid w:val="00C30F9E"/>
    <w:rsid w:val="00C315B7"/>
    <w:rsid w:val="00C31C3D"/>
    <w:rsid w:val="00C35317"/>
    <w:rsid w:val="00C357B0"/>
    <w:rsid w:val="00C36E2C"/>
    <w:rsid w:val="00C36FD7"/>
    <w:rsid w:val="00C37CA0"/>
    <w:rsid w:val="00C40376"/>
    <w:rsid w:val="00C40869"/>
    <w:rsid w:val="00C40911"/>
    <w:rsid w:val="00C40AD5"/>
    <w:rsid w:val="00C4142D"/>
    <w:rsid w:val="00C418F4"/>
    <w:rsid w:val="00C41B5F"/>
    <w:rsid w:val="00C43843"/>
    <w:rsid w:val="00C455B0"/>
    <w:rsid w:val="00C47026"/>
    <w:rsid w:val="00C4712F"/>
    <w:rsid w:val="00C47340"/>
    <w:rsid w:val="00C51572"/>
    <w:rsid w:val="00C52AA1"/>
    <w:rsid w:val="00C53FB7"/>
    <w:rsid w:val="00C56912"/>
    <w:rsid w:val="00C579F1"/>
    <w:rsid w:val="00C605B0"/>
    <w:rsid w:val="00C612F5"/>
    <w:rsid w:val="00C615B5"/>
    <w:rsid w:val="00C62791"/>
    <w:rsid w:val="00C62F7E"/>
    <w:rsid w:val="00C631FC"/>
    <w:rsid w:val="00C63325"/>
    <w:rsid w:val="00C64239"/>
    <w:rsid w:val="00C6452E"/>
    <w:rsid w:val="00C64861"/>
    <w:rsid w:val="00C64B3C"/>
    <w:rsid w:val="00C64CA0"/>
    <w:rsid w:val="00C67416"/>
    <w:rsid w:val="00C67C09"/>
    <w:rsid w:val="00C67D45"/>
    <w:rsid w:val="00C716CB"/>
    <w:rsid w:val="00C7272D"/>
    <w:rsid w:val="00C73257"/>
    <w:rsid w:val="00C742C1"/>
    <w:rsid w:val="00C74B70"/>
    <w:rsid w:val="00C74F41"/>
    <w:rsid w:val="00C77FCA"/>
    <w:rsid w:val="00C80666"/>
    <w:rsid w:val="00C80A66"/>
    <w:rsid w:val="00C81481"/>
    <w:rsid w:val="00C81D74"/>
    <w:rsid w:val="00C81EEB"/>
    <w:rsid w:val="00C82693"/>
    <w:rsid w:val="00C8303E"/>
    <w:rsid w:val="00C83E01"/>
    <w:rsid w:val="00C849E1"/>
    <w:rsid w:val="00C852FB"/>
    <w:rsid w:val="00C85F51"/>
    <w:rsid w:val="00C8742D"/>
    <w:rsid w:val="00C9063B"/>
    <w:rsid w:val="00C91120"/>
    <w:rsid w:val="00C91E2B"/>
    <w:rsid w:val="00C922C9"/>
    <w:rsid w:val="00C92512"/>
    <w:rsid w:val="00C92E5D"/>
    <w:rsid w:val="00C93578"/>
    <w:rsid w:val="00C967C6"/>
    <w:rsid w:val="00C969E3"/>
    <w:rsid w:val="00C97EA4"/>
    <w:rsid w:val="00CA0F66"/>
    <w:rsid w:val="00CA1222"/>
    <w:rsid w:val="00CA1821"/>
    <w:rsid w:val="00CA1E51"/>
    <w:rsid w:val="00CA2BA8"/>
    <w:rsid w:val="00CA37DB"/>
    <w:rsid w:val="00CA3886"/>
    <w:rsid w:val="00CA4B58"/>
    <w:rsid w:val="00CA6EAB"/>
    <w:rsid w:val="00CA782D"/>
    <w:rsid w:val="00CA78D0"/>
    <w:rsid w:val="00CB03CA"/>
    <w:rsid w:val="00CB066E"/>
    <w:rsid w:val="00CB07B8"/>
    <w:rsid w:val="00CB156F"/>
    <w:rsid w:val="00CB222B"/>
    <w:rsid w:val="00CB3C55"/>
    <w:rsid w:val="00CB442D"/>
    <w:rsid w:val="00CB4DB0"/>
    <w:rsid w:val="00CB59C8"/>
    <w:rsid w:val="00CB6A88"/>
    <w:rsid w:val="00CB7B96"/>
    <w:rsid w:val="00CB7BE3"/>
    <w:rsid w:val="00CC094A"/>
    <w:rsid w:val="00CC1398"/>
    <w:rsid w:val="00CC18C8"/>
    <w:rsid w:val="00CC19A6"/>
    <w:rsid w:val="00CC1D1C"/>
    <w:rsid w:val="00CC1FA3"/>
    <w:rsid w:val="00CC2583"/>
    <w:rsid w:val="00CC2D9C"/>
    <w:rsid w:val="00CC3248"/>
    <w:rsid w:val="00CC39B9"/>
    <w:rsid w:val="00CC414E"/>
    <w:rsid w:val="00CC7D78"/>
    <w:rsid w:val="00CD0130"/>
    <w:rsid w:val="00CD0A61"/>
    <w:rsid w:val="00CD0A98"/>
    <w:rsid w:val="00CD0BFA"/>
    <w:rsid w:val="00CD1314"/>
    <w:rsid w:val="00CD3499"/>
    <w:rsid w:val="00CD47E5"/>
    <w:rsid w:val="00CD4CE9"/>
    <w:rsid w:val="00CD5468"/>
    <w:rsid w:val="00CD5723"/>
    <w:rsid w:val="00CD5B03"/>
    <w:rsid w:val="00CD5D6A"/>
    <w:rsid w:val="00CD76BA"/>
    <w:rsid w:val="00CE013D"/>
    <w:rsid w:val="00CE01E8"/>
    <w:rsid w:val="00CE1A5E"/>
    <w:rsid w:val="00CE3C0D"/>
    <w:rsid w:val="00CE46A9"/>
    <w:rsid w:val="00CE5181"/>
    <w:rsid w:val="00CE5C2A"/>
    <w:rsid w:val="00CE64BB"/>
    <w:rsid w:val="00CE665F"/>
    <w:rsid w:val="00CE6871"/>
    <w:rsid w:val="00CE6DA4"/>
    <w:rsid w:val="00CE7A7E"/>
    <w:rsid w:val="00CE7B30"/>
    <w:rsid w:val="00CF0897"/>
    <w:rsid w:val="00CF0D4E"/>
    <w:rsid w:val="00CF16A7"/>
    <w:rsid w:val="00CF1D62"/>
    <w:rsid w:val="00CF24A9"/>
    <w:rsid w:val="00CF39FB"/>
    <w:rsid w:val="00CF3C25"/>
    <w:rsid w:val="00CF5C93"/>
    <w:rsid w:val="00CF7376"/>
    <w:rsid w:val="00CF7B0C"/>
    <w:rsid w:val="00D001CC"/>
    <w:rsid w:val="00D00F65"/>
    <w:rsid w:val="00D0100E"/>
    <w:rsid w:val="00D01441"/>
    <w:rsid w:val="00D01C49"/>
    <w:rsid w:val="00D01D32"/>
    <w:rsid w:val="00D02413"/>
    <w:rsid w:val="00D033AE"/>
    <w:rsid w:val="00D03D04"/>
    <w:rsid w:val="00D0562D"/>
    <w:rsid w:val="00D06C73"/>
    <w:rsid w:val="00D07F51"/>
    <w:rsid w:val="00D10452"/>
    <w:rsid w:val="00D120CD"/>
    <w:rsid w:val="00D13550"/>
    <w:rsid w:val="00D14759"/>
    <w:rsid w:val="00D150E6"/>
    <w:rsid w:val="00D157B0"/>
    <w:rsid w:val="00D1592B"/>
    <w:rsid w:val="00D15B4F"/>
    <w:rsid w:val="00D16101"/>
    <w:rsid w:val="00D1664B"/>
    <w:rsid w:val="00D17D56"/>
    <w:rsid w:val="00D20364"/>
    <w:rsid w:val="00D20419"/>
    <w:rsid w:val="00D20567"/>
    <w:rsid w:val="00D20B9E"/>
    <w:rsid w:val="00D20D18"/>
    <w:rsid w:val="00D21A34"/>
    <w:rsid w:val="00D21B0C"/>
    <w:rsid w:val="00D22D41"/>
    <w:rsid w:val="00D2315B"/>
    <w:rsid w:val="00D23556"/>
    <w:rsid w:val="00D23D3A"/>
    <w:rsid w:val="00D24810"/>
    <w:rsid w:val="00D24A27"/>
    <w:rsid w:val="00D257C4"/>
    <w:rsid w:val="00D260D5"/>
    <w:rsid w:val="00D300F0"/>
    <w:rsid w:val="00D30F0A"/>
    <w:rsid w:val="00D31EF8"/>
    <w:rsid w:val="00D31FE8"/>
    <w:rsid w:val="00D32BEA"/>
    <w:rsid w:val="00D330A2"/>
    <w:rsid w:val="00D35154"/>
    <w:rsid w:val="00D3552F"/>
    <w:rsid w:val="00D3585E"/>
    <w:rsid w:val="00D40BE2"/>
    <w:rsid w:val="00D416D8"/>
    <w:rsid w:val="00D42199"/>
    <w:rsid w:val="00D42971"/>
    <w:rsid w:val="00D436AB"/>
    <w:rsid w:val="00D43702"/>
    <w:rsid w:val="00D43DC0"/>
    <w:rsid w:val="00D45279"/>
    <w:rsid w:val="00D4548A"/>
    <w:rsid w:val="00D4633F"/>
    <w:rsid w:val="00D47CEE"/>
    <w:rsid w:val="00D504CB"/>
    <w:rsid w:val="00D51B1A"/>
    <w:rsid w:val="00D53A7B"/>
    <w:rsid w:val="00D547C5"/>
    <w:rsid w:val="00D54AB2"/>
    <w:rsid w:val="00D54B84"/>
    <w:rsid w:val="00D55D6D"/>
    <w:rsid w:val="00D56260"/>
    <w:rsid w:val="00D56908"/>
    <w:rsid w:val="00D56B4C"/>
    <w:rsid w:val="00D57621"/>
    <w:rsid w:val="00D61755"/>
    <w:rsid w:val="00D627E1"/>
    <w:rsid w:val="00D62A47"/>
    <w:rsid w:val="00D6332C"/>
    <w:rsid w:val="00D63CFF"/>
    <w:rsid w:val="00D64E35"/>
    <w:rsid w:val="00D64EE3"/>
    <w:rsid w:val="00D657BF"/>
    <w:rsid w:val="00D65C4C"/>
    <w:rsid w:val="00D66351"/>
    <w:rsid w:val="00D66AE2"/>
    <w:rsid w:val="00D676CD"/>
    <w:rsid w:val="00D6790A"/>
    <w:rsid w:val="00D67DA3"/>
    <w:rsid w:val="00D704C1"/>
    <w:rsid w:val="00D70853"/>
    <w:rsid w:val="00D711F1"/>
    <w:rsid w:val="00D73566"/>
    <w:rsid w:val="00D744B9"/>
    <w:rsid w:val="00D7461D"/>
    <w:rsid w:val="00D74B37"/>
    <w:rsid w:val="00D74B4E"/>
    <w:rsid w:val="00D7517C"/>
    <w:rsid w:val="00D765D3"/>
    <w:rsid w:val="00D76DAD"/>
    <w:rsid w:val="00D772CF"/>
    <w:rsid w:val="00D804F7"/>
    <w:rsid w:val="00D805A8"/>
    <w:rsid w:val="00D80B71"/>
    <w:rsid w:val="00D80D2A"/>
    <w:rsid w:val="00D81381"/>
    <w:rsid w:val="00D81D1E"/>
    <w:rsid w:val="00D82A2E"/>
    <w:rsid w:val="00D8356F"/>
    <w:rsid w:val="00D83748"/>
    <w:rsid w:val="00D839F3"/>
    <w:rsid w:val="00D83DBD"/>
    <w:rsid w:val="00D84848"/>
    <w:rsid w:val="00D84C70"/>
    <w:rsid w:val="00D87267"/>
    <w:rsid w:val="00D8730D"/>
    <w:rsid w:val="00D87357"/>
    <w:rsid w:val="00D87D5F"/>
    <w:rsid w:val="00D90429"/>
    <w:rsid w:val="00D907B3"/>
    <w:rsid w:val="00D93055"/>
    <w:rsid w:val="00D93FBC"/>
    <w:rsid w:val="00D94058"/>
    <w:rsid w:val="00D94FB1"/>
    <w:rsid w:val="00D96154"/>
    <w:rsid w:val="00D9720D"/>
    <w:rsid w:val="00D975B9"/>
    <w:rsid w:val="00D975E4"/>
    <w:rsid w:val="00D9774F"/>
    <w:rsid w:val="00DA0E64"/>
    <w:rsid w:val="00DA0FA6"/>
    <w:rsid w:val="00DA177F"/>
    <w:rsid w:val="00DA17F7"/>
    <w:rsid w:val="00DA188F"/>
    <w:rsid w:val="00DA1B8B"/>
    <w:rsid w:val="00DA2539"/>
    <w:rsid w:val="00DA2F50"/>
    <w:rsid w:val="00DA3332"/>
    <w:rsid w:val="00DA386F"/>
    <w:rsid w:val="00DA395C"/>
    <w:rsid w:val="00DA3BD6"/>
    <w:rsid w:val="00DA59BC"/>
    <w:rsid w:val="00DA625C"/>
    <w:rsid w:val="00DA66B3"/>
    <w:rsid w:val="00DA6D24"/>
    <w:rsid w:val="00DA79FB"/>
    <w:rsid w:val="00DA7EA3"/>
    <w:rsid w:val="00DB0CB5"/>
    <w:rsid w:val="00DB10D3"/>
    <w:rsid w:val="00DB11ED"/>
    <w:rsid w:val="00DB12C5"/>
    <w:rsid w:val="00DB13E9"/>
    <w:rsid w:val="00DB18CC"/>
    <w:rsid w:val="00DB1F55"/>
    <w:rsid w:val="00DB2576"/>
    <w:rsid w:val="00DB31B8"/>
    <w:rsid w:val="00DB3BE8"/>
    <w:rsid w:val="00DB3C80"/>
    <w:rsid w:val="00DB487F"/>
    <w:rsid w:val="00DB4FC9"/>
    <w:rsid w:val="00DB5328"/>
    <w:rsid w:val="00DB57F8"/>
    <w:rsid w:val="00DB6329"/>
    <w:rsid w:val="00DB6520"/>
    <w:rsid w:val="00DB70CB"/>
    <w:rsid w:val="00DB73B2"/>
    <w:rsid w:val="00DC01E5"/>
    <w:rsid w:val="00DC0DEB"/>
    <w:rsid w:val="00DC13A4"/>
    <w:rsid w:val="00DC219F"/>
    <w:rsid w:val="00DC3E0A"/>
    <w:rsid w:val="00DC3EC0"/>
    <w:rsid w:val="00DC5F40"/>
    <w:rsid w:val="00DD0054"/>
    <w:rsid w:val="00DD083A"/>
    <w:rsid w:val="00DD0E9F"/>
    <w:rsid w:val="00DD16B0"/>
    <w:rsid w:val="00DD2505"/>
    <w:rsid w:val="00DD390A"/>
    <w:rsid w:val="00DD5580"/>
    <w:rsid w:val="00DD5840"/>
    <w:rsid w:val="00DD64FF"/>
    <w:rsid w:val="00DD6B79"/>
    <w:rsid w:val="00DE1642"/>
    <w:rsid w:val="00DE1746"/>
    <w:rsid w:val="00DE1A9E"/>
    <w:rsid w:val="00DE20E0"/>
    <w:rsid w:val="00DE2848"/>
    <w:rsid w:val="00DE2AF6"/>
    <w:rsid w:val="00DE50F9"/>
    <w:rsid w:val="00DE511E"/>
    <w:rsid w:val="00DE53AC"/>
    <w:rsid w:val="00DE576F"/>
    <w:rsid w:val="00DE67DD"/>
    <w:rsid w:val="00DF30C6"/>
    <w:rsid w:val="00DF3A08"/>
    <w:rsid w:val="00DF4E34"/>
    <w:rsid w:val="00DF68F7"/>
    <w:rsid w:val="00DF6ABD"/>
    <w:rsid w:val="00DF6F7E"/>
    <w:rsid w:val="00DF7892"/>
    <w:rsid w:val="00DF7C08"/>
    <w:rsid w:val="00E00427"/>
    <w:rsid w:val="00E006C5"/>
    <w:rsid w:val="00E01C8E"/>
    <w:rsid w:val="00E01E06"/>
    <w:rsid w:val="00E033F9"/>
    <w:rsid w:val="00E03CC2"/>
    <w:rsid w:val="00E048E3"/>
    <w:rsid w:val="00E054A5"/>
    <w:rsid w:val="00E077D3"/>
    <w:rsid w:val="00E07BDA"/>
    <w:rsid w:val="00E10222"/>
    <w:rsid w:val="00E1054A"/>
    <w:rsid w:val="00E105B9"/>
    <w:rsid w:val="00E112B6"/>
    <w:rsid w:val="00E11384"/>
    <w:rsid w:val="00E12000"/>
    <w:rsid w:val="00E136D0"/>
    <w:rsid w:val="00E13DF8"/>
    <w:rsid w:val="00E1449E"/>
    <w:rsid w:val="00E14595"/>
    <w:rsid w:val="00E17375"/>
    <w:rsid w:val="00E17387"/>
    <w:rsid w:val="00E174DA"/>
    <w:rsid w:val="00E2042E"/>
    <w:rsid w:val="00E21CDA"/>
    <w:rsid w:val="00E221C4"/>
    <w:rsid w:val="00E2282C"/>
    <w:rsid w:val="00E22A3A"/>
    <w:rsid w:val="00E24FE0"/>
    <w:rsid w:val="00E2516E"/>
    <w:rsid w:val="00E25B67"/>
    <w:rsid w:val="00E267C9"/>
    <w:rsid w:val="00E2768C"/>
    <w:rsid w:val="00E27E10"/>
    <w:rsid w:val="00E3027F"/>
    <w:rsid w:val="00E305D7"/>
    <w:rsid w:val="00E309A9"/>
    <w:rsid w:val="00E31711"/>
    <w:rsid w:val="00E3250F"/>
    <w:rsid w:val="00E33217"/>
    <w:rsid w:val="00E3324B"/>
    <w:rsid w:val="00E3362A"/>
    <w:rsid w:val="00E33631"/>
    <w:rsid w:val="00E34C0D"/>
    <w:rsid w:val="00E35C20"/>
    <w:rsid w:val="00E35D22"/>
    <w:rsid w:val="00E3643A"/>
    <w:rsid w:val="00E36A86"/>
    <w:rsid w:val="00E36C8F"/>
    <w:rsid w:val="00E36EF0"/>
    <w:rsid w:val="00E406C0"/>
    <w:rsid w:val="00E40C7B"/>
    <w:rsid w:val="00E40D55"/>
    <w:rsid w:val="00E4118A"/>
    <w:rsid w:val="00E413F0"/>
    <w:rsid w:val="00E41EBF"/>
    <w:rsid w:val="00E42DD4"/>
    <w:rsid w:val="00E43013"/>
    <w:rsid w:val="00E43564"/>
    <w:rsid w:val="00E43D74"/>
    <w:rsid w:val="00E44B85"/>
    <w:rsid w:val="00E44BAA"/>
    <w:rsid w:val="00E44FEE"/>
    <w:rsid w:val="00E45075"/>
    <w:rsid w:val="00E45F2D"/>
    <w:rsid w:val="00E46629"/>
    <w:rsid w:val="00E466C3"/>
    <w:rsid w:val="00E47511"/>
    <w:rsid w:val="00E47F09"/>
    <w:rsid w:val="00E50012"/>
    <w:rsid w:val="00E5156D"/>
    <w:rsid w:val="00E51E1D"/>
    <w:rsid w:val="00E52216"/>
    <w:rsid w:val="00E526CD"/>
    <w:rsid w:val="00E52979"/>
    <w:rsid w:val="00E544D6"/>
    <w:rsid w:val="00E55C8B"/>
    <w:rsid w:val="00E577DA"/>
    <w:rsid w:val="00E606AE"/>
    <w:rsid w:val="00E612BA"/>
    <w:rsid w:val="00E61709"/>
    <w:rsid w:val="00E66808"/>
    <w:rsid w:val="00E67BE2"/>
    <w:rsid w:val="00E70036"/>
    <w:rsid w:val="00E708E9"/>
    <w:rsid w:val="00E733DA"/>
    <w:rsid w:val="00E73DC7"/>
    <w:rsid w:val="00E73DD8"/>
    <w:rsid w:val="00E75B56"/>
    <w:rsid w:val="00E75FA2"/>
    <w:rsid w:val="00E76F59"/>
    <w:rsid w:val="00E773EE"/>
    <w:rsid w:val="00E77403"/>
    <w:rsid w:val="00E77430"/>
    <w:rsid w:val="00E777E3"/>
    <w:rsid w:val="00E77EB4"/>
    <w:rsid w:val="00E80604"/>
    <w:rsid w:val="00E81940"/>
    <w:rsid w:val="00E81BAC"/>
    <w:rsid w:val="00E81E0B"/>
    <w:rsid w:val="00E83871"/>
    <w:rsid w:val="00E84A39"/>
    <w:rsid w:val="00E854C8"/>
    <w:rsid w:val="00E85DF7"/>
    <w:rsid w:val="00E865BB"/>
    <w:rsid w:val="00E8726C"/>
    <w:rsid w:val="00E903DA"/>
    <w:rsid w:val="00E9091C"/>
    <w:rsid w:val="00E90962"/>
    <w:rsid w:val="00E90A98"/>
    <w:rsid w:val="00E90F33"/>
    <w:rsid w:val="00E92AEA"/>
    <w:rsid w:val="00E9453E"/>
    <w:rsid w:val="00E94549"/>
    <w:rsid w:val="00E94939"/>
    <w:rsid w:val="00E9494E"/>
    <w:rsid w:val="00E94BE0"/>
    <w:rsid w:val="00E94CD0"/>
    <w:rsid w:val="00E9580A"/>
    <w:rsid w:val="00E95ACD"/>
    <w:rsid w:val="00E96594"/>
    <w:rsid w:val="00E966C2"/>
    <w:rsid w:val="00E96A9D"/>
    <w:rsid w:val="00E971B9"/>
    <w:rsid w:val="00E9726F"/>
    <w:rsid w:val="00E97299"/>
    <w:rsid w:val="00E97883"/>
    <w:rsid w:val="00EA016B"/>
    <w:rsid w:val="00EA0FEF"/>
    <w:rsid w:val="00EA1E25"/>
    <w:rsid w:val="00EA33ED"/>
    <w:rsid w:val="00EA359F"/>
    <w:rsid w:val="00EA5082"/>
    <w:rsid w:val="00EA5313"/>
    <w:rsid w:val="00EA56E2"/>
    <w:rsid w:val="00EA5779"/>
    <w:rsid w:val="00EA5D8B"/>
    <w:rsid w:val="00EA653D"/>
    <w:rsid w:val="00EA7439"/>
    <w:rsid w:val="00EA7D83"/>
    <w:rsid w:val="00EB0ADC"/>
    <w:rsid w:val="00EB0B54"/>
    <w:rsid w:val="00EB0EAC"/>
    <w:rsid w:val="00EB1A02"/>
    <w:rsid w:val="00EB205D"/>
    <w:rsid w:val="00EB2940"/>
    <w:rsid w:val="00EB3948"/>
    <w:rsid w:val="00EB39A9"/>
    <w:rsid w:val="00EB402B"/>
    <w:rsid w:val="00EB5ECC"/>
    <w:rsid w:val="00EB6127"/>
    <w:rsid w:val="00EB6F4A"/>
    <w:rsid w:val="00EC0731"/>
    <w:rsid w:val="00EC28AE"/>
    <w:rsid w:val="00EC33A0"/>
    <w:rsid w:val="00EC35F8"/>
    <w:rsid w:val="00EC42ED"/>
    <w:rsid w:val="00EC4CF1"/>
    <w:rsid w:val="00EC54C8"/>
    <w:rsid w:val="00EC6374"/>
    <w:rsid w:val="00EC7143"/>
    <w:rsid w:val="00EC792A"/>
    <w:rsid w:val="00EC7EF8"/>
    <w:rsid w:val="00ED0260"/>
    <w:rsid w:val="00ED0BD7"/>
    <w:rsid w:val="00ED0DBE"/>
    <w:rsid w:val="00ED18DD"/>
    <w:rsid w:val="00ED18F0"/>
    <w:rsid w:val="00ED2E36"/>
    <w:rsid w:val="00ED3BAA"/>
    <w:rsid w:val="00ED437A"/>
    <w:rsid w:val="00ED48E0"/>
    <w:rsid w:val="00ED7018"/>
    <w:rsid w:val="00ED7D85"/>
    <w:rsid w:val="00EE0541"/>
    <w:rsid w:val="00EE066C"/>
    <w:rsid w:val="00EE0C52"/>
    <w:rsid w:val="00EE16D7"/>
    <w:rsid w:val="00EE2D7F"/>
    <w:rsid w:val="00EE2EE2"/>
    <w:rsid w:val="00EE36D8"/>
    <w:rsid w:val="00EE3B34"/>
    <w:rsid w:val="00EE42A4"/>
    <w:rsid w:val="00EE47E1"/>
    <w:rsid w:val="00EE516A"/>
    <w:rsid w:val="00EE53F1"/>
    <w:rsid w:val="00EE59AF"/>
    <w:rsid w:val="00EE6123"/>
    <w:rsid w:val="00EE7254"/>
    <w:rsid w:val="00EF0A28"/>
    <w:rsid w:val="00EF170C"/>
    <w:rsid w:val="00EF253C"/>
    <w:rsid w:val="00EF404B"/>
    <w:rsid w:val="00EF7014"/>
    <w:rsid w:val="00F01D21"/>
    <w:rsid w:val="00F01D65"/>
    <w:rsid w:val="00F02775"/>
    <w:rsid w:val="00F02B73"/>
    <w:rsid w:val="00F02C47"/>
    <w:rsid w:val="00F02F86"/>
    <w:rsid w:val="00F03ED5"/>
    <w:rsid w:val="00F042C0"/>
    <w:rsid w:val="00F04319"/>
    <w:rsid w:val="00F0431D"/>
    <w:rsid w:val="00F046F8"/>
    <w:rsid w:val="00F04953"/>
    <w:rsid w:val="00F04CE3"/>
    <w:rsid w:val="00F05313"/>
    <w:rsid w:val="00F05DCE"/>
    <w:rsid w:val="00F07AC7"/>
    <w:rsid w:val="00F11149"/>
    <w:rsid w:val="00F11359"/>
    <w:rsid w:val="00F14141"/>
    <w:rsid w:val="00F14437"/>
    <w:rsid w:val="00F14A04"/>
    <w:rsid w:val="00F152E3"/>
    <w:rsid w:val="00F1585D"/>
    <w:rsid w:val="00F16332"/>
    <w:rsid w:val="00F172FE"/>
    <w:rsid w:val="00F177C3"/>
    <w:rsid w:val="00F229E5"/>
    <w:rsid w:val="00F24851"/>
    <w:rsid w:val="00F25C45"/>
    <w:rsid w:val="00F26550"/>
    <w:rsid w:val="00F26C02"/>
    <w:rsid w:val="00F26C79"/>
    <w:rsid w:val="00F275A8"/>
    <w:rsid w:val="00F275D5"/>
    <w:rsid w:val="00F304B0"/>
    <w:rsid w:val="00F31441"/>
    <w:rsid w:val="00F318E9"/>
    <w:rsid w:val="00F31D38"/>
    <w:rsid w:val="00F31D60"/>
    <w:rsid w:val="00F31DF1"/>
    <w:rsid w:val="00F325B6"/>
    <w:rsid w:val="00F32BC2"/>
    <w:rsid w:val="00F32BDC"/>
    <w:rsid w:val="00F32C43"/>
    <w:rsid w:val="00F3413C"/>
    <w:rsid w:val="00F35578"/>
    <w:rsid w:val="00F37DD0"/>
    <w:rsid w:val="00F4069E"/>
    <w:rsid w:val="00F40A5A"/>
    <w:rsid w:val="00F41F36"/>
    <w:rsid w:val="00F42646"/>
    <w:rsid w:val="00F43416"/>
    <w:rsid w:val="00F45859"/>
    <w:rsid w:val="00F45E75"/>
    <w:rsid w:val="00F46207"/>
    <w:rsid w:val="00F464DD"/>
    <w:rsid w:val="00F46608"/>
    <w:rsid w:val="00F469F9"/>
    <w:rsid w:val="00F46E88"/>
    <w:rsid w:val="00F4746D"/>
    <w:rsid w:val="00F5098F"/>
    <w:rsid w:val="00F51BAB"/>
    <w:rsid w:val="00F52069"/>
    <w:rsid w:val="00F520AF"/>
    <w:rsid w:val="00F528A6"/>
    <w:rsid w:val="00F52F5A"/>
    <w:rsid w:val="00F5398A"/>
    <w:rsid w:val="00F54344"/>
    <w:rsid w:val="00F556DF"/>
    <w:rsid w:val="00F55A65"/>
    <w:rsid w:val="00F56027"/>
    <w:rsid w:val="00F56219"/>
    <w:rsid w:val="00F56F15"/>
    <w:rsid w:val="00F56FC4"/>
    <w:rsid w:val="00F57AF9"/>
    <w:rsid w:val="00F604A9"/>
    <w:rsid w:val="00F604FA"/>
    <w:rsid w:val="00F60DF3"/>
    <w:rsid w:val="00F60F66"/>
    <w:rsid w:val="00F61809"/>
    <w:rsid w:val="00F61914"/>
    <w:rsid w:val="00F637F0"/>
    <w:rsid w:val="00F63E8A"/>
    <w:rsid w:val="00F64545"/>
    <w:rsid w:val="00F645D1"/>
    <w:rsid w:val="00F64D33"/>
    <w:rsid w:val="00F6510F"/>
    <w:rsid w:val="00F65328"/>
    <w:rsid w:val="00F658C1"/>
    <w:rsid w:val="00F65EF9"/>
    <w:rsid w:val="00F66186"/>
    <w:rsid w:val="00F666B1"/>
    <w:rsid w:val="00F66B2D"/>
    <w:rsid w:val="00F66C1F"/>
    <w:rsid w:val="00F66EA3"/>
    <w:rsid w:val="00F6728E"/>
    <w:rsid w:val="00F676E6"/>
    <w:rsid w:val="00F6782C"/>
    <w:rsid w:val="00F70839"/>
    <w:rsid w:val="00F70CD3"/>
    <w:rsid w:val="00F7201C"/>
    <w:rsid w:val="00F7293A"/>
    <w:rsid w:val="00F72975"/>
    <w:rsid w:val="00F74397"/>
    <w:rsid w:val="00F75274"/>
    <w:rsid w:val="00F75FB6"/>
    <w:rsid w:val="00F763CE"/>
    <w:rsid w:val="00F775AC"/>
    <w:rsid w:val="00F8106D"/>
    <w:rsid w:val="00F819FE"/>
    <w:rsid w:val="00F829DA"/>
    <w:rsid w:val="00F83701"/>
    <w:rsid w:val="00F83E29"/>
    <w:rsid w:val="00F841A6"/>
    <w:rsid w:val="00F84262"/>
    <w:rsid w:val="00F846FB"/>
    <w:rsid w:val="00F8570E"/>
    <w:rsid w:val="00F870C3"/>
    <w:rsid w:val="00F87F0C"/>
    <w:rsid w:val="00F901BB"/>
    <w:rsid w:val="00F90960"/>
    <w:rsid w:val="00F91025"/>
    <w:rsid w:val="00F9254D"/>
    <w:rsid w:val="00F929F5"/>
    <w:rsid w:val="00F931C9"/>
    <w:rsid w:val="00F941F5"/>
    <w:rsid w:val="00F96C49"/>
    <w:rsid w:val="00F97590"/>
    <w:rsid w:val="00F97976"/>
    <w:rsid w:val="00FA03A8"/>
    <w:rsid w:val="00FA1828"/>
    <w:rsid w:val="00FA1B00"/>
    <w:rsid w:val="00FA2CFA"/>
    <w:rsid w:val="00FA2F29"/>
    <w:rsid w:val="00FA3477"/>
    <w:rsid w:val="00FA3C9E"/>
    <w:rsid w:val="00FA4158"/>
    <w:rsid w:val="00FA466D"/>
    <w:rsid w:val="00FA47EA"/>
    <w:rsid w:val="00FA4A4A"/>
    <w:rsid w:val="00FA4ECD"/>
    <w:rsid w:val="00FA7D2E"/>
    <w:rsid w:val="00FB095A"/>
    <w:rsid w:val="00FB0F4A"/>
    <w:rsid w:val="00FB31F9"/>
    <w:rsid w:val="00FB49BF"/>
    <w:rsid w:val="00FB505C"/>
    <w:rsid w:val="00FB5193"/>
    <w:rsid w:val="00FB6A22"/>
    <w:rsid w:val="00FB7095"/>
    <w:rsid w:val="00FB77A3"/>
    <w:rsid w:val="00FB7BD8"/>
    <w:rsid w:val="00FB7C64"/>
    <w:rsid w:val="00FC3878"/>
    <w:rsid w:val="00FC3A0A"/>
    <w:rsid w:val="00FC4321"/>
    <w:rsid w:val="00FC4B91"/>
    <w:rsid w:val="00FC5C26"/>
    <w:rsid w:val="00FC6A4B"/>
    <w:rsid w:val="00FC73A4"/>
    <w:rsid w:val="00FD04AA"/>
    <w:rsid w:val="00FD23C7"/>
    <w:rsid w:val="00FD38B4"/>
    <w:rsid w:val="00FD3BF7"/>
    <w:rsid w:val="00FD3CBD"/>
    <w:rsid w:val="00FD492F"/>
    <w:rsid w:val="00FD4D1C"/>
    <w:rsid w:val="00FD585F"/>
    <w:rsid w:val="00FD6C8C"/>
    <w:rsid w:val="00FE0C68"/>
    <w:rsid w:val="00FE0C9F"/>
    <w:rsid w:val="00FE0D63"/>
    <w:rsid w:val="00FE1134"/>
    <w:rsid w:val="00FE171C"/>
    <w:rsid w:val="00FE19A4"/>
    <w:rsid w:val="00FE4FC1"/>
    <w:rsid w:val="00FE5F14"/>
    <w:rsid w:val="00FE63D1"/>
    <w:rsid w:val="00FE6CDC"/>
    <w:rsid w:val="00FE7410"/>
    <w:rsid w:val="00FF07CC"/>
    <w:rsid w:val="00FF0B71"/>
    <w:rsid w:val="00FF14E7"/>
    <w:rsid w:val="00FF170D"/>
    <w:rsid w:val="00FF1D59"/>
    <w:rsid w:val="00FF1FF6"/>
    <w:rsid w:val="00FF205F"/>
    <w:rsid w:val="00FF2394"/>
    <w:rsid w:val="00FF3907"/>
    <w:rsid w:val="00FF4D74"/>
    <w:rsid w:val="086E29A6"/>
    <w:rsid w:val="0D2F1BF9"/>
    <w:rsid w:val="2019003B"/>
    <w:rsid w:val="31D406CB"/>
    <w:rsid w:val="4E924879"/>
    <w:rsid w:val="558A7170"/>
    <w:rsid w:val="5C646B5B"/>
    <w:rsid w:val="5DC14B28"/>
    <w:rsid w:val="64D22B11"/>
    <w:rsid w:val="69C1471E"/>
    <w:rsid w:val="6ACF764A"/>
    <w:rsid w:val="7B58492C"/>
  </w:rsids>
  <m:mathPr>
    <m:mathFont m:val="Cambria Math"/>
    <m:brkBin m:val="before"/>
    <m:brkBinSub m:val="--"/>
    <m:smallFrac m:val="1"/>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38"/>
    <w:qFormat/>
    <w:uiPriority w:val="99"/>
    <w:pPr>
      <w:keepNext/>
      <w:spacing w:after="0" w:line="240" w:lineRule="auto"/>
      <w:jc w:val="center"/>
      <w:outlineLvl w:val="0"/>
    </w:pPr>
    <w:rPr>
      <w:rFonts w:ascii="Arial" w:hAnsi="Arial" w:eastAsia="Calibri" w:cs="Arial"/>
      <w:sz w:val="24"/>
      <w:szCs w:val="24"/>
    </w:rPr>
  </w:style>
  <w:style w:type="paragraph" w:styleId="3">
    <w:name w:val="heading 2"/>
    <w:basedOn w:val="1"/>
    <w:next w:val="1"/>
    <w:link w:val="41"/>
    <w:unhideWhenUsed/>
    <w:qFormat/>
    <w:uiPriority w:val="9"/>
    <w:pPr>
      <w:keepNext/>
      <w:keepLines/>
      <w:spacing w:before="40" w:after="0"/>
      <w:outlineLvl w:val="1"/>
    </w:pPr>
    <w:rPr>
      <w:rFonts w:asciiTheme="majorHAnsi" w:hAnsiTheme="majorHAnsi" w:eastAsiaTheme="majorEastAsia" w:cstheme="majorBidi"/>
      <w:b/>
      <w:color w:val="000000" w:themeColor="text1"/>
      <w:sz w:val="26"/>
      <w:szCs w:val="26"/>
      <w14:textFill>
        <w14:solidFill>
          <w14:schemeClr w14:val="tx1"/>
        </w14:solidFill>
      </w14:textFill>
    </w:rPr>
  </w:style>
  <w:style w:type="paragraph" w:styleId="4">
    <w:name w:val="heading 3"/>
    <w:basedOn w:val="1"/>
    <w:next w:val="1"/>
    <w:link w:val="43"/>
    <w:unhideWhenUsed/>
    <w:qFormat/>
    <w:uiPriority w:val="9"/>
    <w:pPr>
      <w:keepNext/>
      <w:keepLines/>
      <w:spacing w:before="40" w:after="0"/>
      <w:outlineLvl w:val="2"/>
    </w:pPr>
    <w:rPr>
      <w:rFonts w:asciiTheme="majorHAnsi" w:hAnsiTheme="majorHAnsi" w:eastAsiaTheme="majorEastAsia" w:cstheme="majorBidi"/>
      <w:color w:val="203864" w:themeColor="accent1" w:themeShade="80"/>
      <w:sz w:val="24"/>
      <w:szCs w:val="24"/>
    </w:rPr>
  </w:style>
  <w:style w:type="paragraph" w:styleId="5">
    <w:name w:val="heading 4"/>
    <w:basedOn w:val="1"/>
    <w:next w:val="1"/>
    <w:link w:val="44"/>
    <w:unhideWhenUsed/>
    <w:qFormat/>
    <w:uiPriority w:val="9"/>
    <w:pPr>
      <w:keepNext/>
      <w:keepLines/>
      <w:spacing w:before="40" w:after="0"/>
      <w:outlineLvl w:val="3"/>
    </w:pPr>
    <w:rPr>
      <w:rFonts w:asciiTheme="majorHAnsi" w:hAnsiTheme="majorHAnsi" w:eastAsiaTheme="majorEastAsia" w:cstheme="majorBidi"/>
      <w:i/>
      <w:iCs/>
      <w:color w:val="2F5597" w:themeColor="accent1" w:themeShade="BF"/>
    </w:rPr>
  </w:style>
  <w:style w:type="character" w:default="1" w:styleId="6">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8">
    <w:name w:val="Balloon Text"/>
    <w:basedOn w:val="1"/>
    <w:link w:val="35"/>
    <w:semiHidden/>
    <w:unhideWhenUsed/>
    <w:qFormat/>
    <w:uiPriority w:val="99"/>
    <w:pPr>
      <w:spacing w:after="0" w:line="240" w:lineRule="auto"/>
    </w:pPr>
    <w:rPr>
      <w:rFonts w:ascii="Segoe UI" w:hAnsi="Segoe UI" w:cs="Segoe UI"/>
      <w:sz w:val="18"/>
      <w:szCs w:val="18"/>
    </w:rPr>
  </w:style>
  <w:style w:type="paragraph" w:styleId="9">
    <w:name w:val="caption"/>
    <w:basedOn w:val="1"/>
    <w:next w:val="1"/>
    <w:unhideWhenUsed/>
    <w:qFormat/>
    <w:uiPriority w:val="35"/>
    <w:pPr>
      <w:spacing w:after="200" w:line="240" w:lineRule="auto"/>
    </w:pPr>
    <w:rPr>
      <w:i/>
      <w:iCs/>
      <w:color w:val="44546A" w:themeColor="text2"/>
      <w:sz w:val="18"/>
      <w:szCs w:val="18"/>
      <w14:textFill>
        <w14:solidFill>
          <w14:schemeClr w14:val="tx2"/>
        </w14:solidFill>
      </w14:textFill>
    </w:rPr>
  </w:style>
  <w:style w:type="character" w:styleId="10">
    <w:name w:val="annotation reference"/>
    <w:basedOn w:val="6"/>
    <w:semiHidden/>
    <w:unhideWhenUsed/>
    <w:qFormat/>
    <w:uiPriority w:val="99"/>
    <w:rPr>
      <w:sz w:val="16"/>
      <w:szCs w:val="16"/>
    </w:rPr>
  </w:style>
  <w:style w:type="paragraph" w:styleId="11">
    <w:name w:val="annotation text"/>
    <w:basedOn w:val="1"/>
    <w:link w:val="33"/>
    <w:semiHidden/>
    <w:unhideWhenUsed/>
    <w:qFormat/>
    <w:uiPriority w:val="99"/>
    <w:pPr>
      <w:spacing w:line="240" w:lineRule="auto"/>
    </w:pPr>
    <w:rPr>
      <w:sz w:val="20"/>
      <w:szCs w:val="20"/>
    </w:rPr>
  </w:style>
  <w:style w:type="paragraph" w:styleId="12">
    <w:name w:val="annotation subject"/>
    <w:basedOn w:val="11"/>
    <w:next w:val="11"/>
    <w:link w:val="34"/>
    <w:semiHidden/>
    <w:unhideWhenUsed/>
    <w:qFormat/>
    <w:uiPriority w:val="99"/>
    <w:rPr>
      <w:b/>
      <w:bCs/>
    </w:rPr>
  </w:style>
  <w:style w:type="character" w:styleId="13">
    <w:name w:val="Emphasis"/>
    <w:basedOn w:val="6"/>
    <w:qFormat/>
    <w:uiPriority w:val="20"/>
    <w:rPr>
      <w:i/>
      <w:iCs/>
    </w:rPr>
  </w:style>
  <w:style w:type="paragraph" w:styleId="14">
    <w:name w:val="footer"/>
    <w:basedOn w:val="1"/>
    <w:link w:val="31"/>
    <w:unhideWhenUsed/>
    <w:qFormat/>
    <w:uiPriority w:val="99"/>
    <w:pPr>
      <w:tabs>
        <w:tab w:val="center" w:pos="4680"/>
        <w:tab w:val="right" w:pos="9360"/>
      </w:tabs>
      <w:spacing w:after="0" w:line="240" w:lineRule="auto"/>
    </w:pPr>
  </w:style>
  <w:style w:type="paragraph" w:styleId="15">
    <w:name w:val="header"/>
    <w:basedOn w:val="1"/>
    <w:link w:val="30"/>
    <w:unhideWhenUsed/>
    <w:qFormat/>
    <w:uiPriority w:val="99"/>
    <w:pPr>
      <w:tabs>
        <w:tab w:val="center" w:pos="4680"/>
        <w:tab w:val="right" w:pos="9360"/>
      </w:tabs>
      <w:spacing w:after="0" w:line="240" w:lineRule="auto"/>
    </w:pPr>
  </w:style>
  <w:style w:type="character" w:styleId="16">
    <w:name w:val="Hyperlink"/>
    <w:basedOn w:val="6"/>
    <w:unhideWhenUsed/>
    <w:qFormat/>
    <w:uiPriority w:val="99"/>
    <w:rPr>
      <w:color w:val="0000FF"/>
      <w:u w:val="single"/>
    </w:rPr>
  </w:style>
  <w:style w:type="paragraph" w:styleId="17">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8">
    <w:name w:val="Strong"/>
    <w:basedOn w:val="6"/>
    <w:qFormat/>
    <w:uiPriority w:val="22"/>
    <w:rPr>
      <w:b/>
      <w:bCs/>
    </w:rPr>
  </w:style>
  <w:style w:type="table" w:styleId="19">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0">
    <w:name w:val="table of figures"/>
    <w:basedOn w:val="1"/>
    <w:next w:val="1"/>
    <w:unhideWhenUsed/>
    <w:qFormat/>
    <w:uiPriority w:val="99"/>
    <w:pPr>
      <w:spacing w:after="0"/>
    </w:pPr>
  </w:style>
  <w:style w:type="paragraph" w:styleId="21">
    <w:name w:val="toc 1"/>
    <w:basedOn w:val="1"/>
    <w:next w:val="1"/>
    <w:unhideWhenUsed/>
    <w:qFormat/>
    <w:uiPriority w:val="39"/>
    <w:pPr>
      <w:spacing w:after="100"/>
    </w:pPr>
  </w:style>
  <w:style w:type="paragraph" w:styleId="22">
    <w:name w:val="toc 2"/>
    <w:basedOn w:val="1"/>
    <w:next w:val="1"/>
    <w:unhideWhenUsed/>
    <w:qFormat/>
    <w:uiPriority w:val="39"/>
    <w:pPr>
      <w:spacing w:after="100"/>
      <w:ind w:left="220"/>
    </w:pPr>
  </w:style>
  <w:style w:type="paragraph" w:styleId="23">
    <w:name w:val="toc 3"/>
    <w:basedOn w:val="1"/>
    <w:next w:val="1"/>
    <w:unhideWhenUsed/>
    <w:qFormat/>
    <w:uiPriority w:val="39"/>
    <w:pPr>
      <w:spacing w:after="100"/>
      <w:ind w:left="440"/>
    </w:pPr>
  </w:style>
  <w:style w:type="paragraph" w:styleId="24">
    <w:name w:val="List Paragraph"/>
    <w:basedOn w:val="1"/>
    <w:qFormat/>
    <w:uiPriority w:val="34"/>
    <w:pPr>
      <w:spacing w:after="0" w:line="240" w:lineRule="auto"/>
      <w:ind w:left="720"/>
      <w:contextualSpacing/>
    </w:pPr>
    <w:rPr>
      <w:rFonts w:ascii="Times New Roman" w:hAnsi="Times New Roman" w:eastAsia="MS Mincho" w:cs="Times New Roman"/>
      <w:sz w:val="24"/>
      <w:szCs w:val="24"/>
      <w:lang w:eastAsia="ja-JP"/>
    </w:rPr>
  </w:style>
  <w:style w:type="paragraph" w:customStyle="1" w:styleId="25">
    <w:name w:val="Default"/>
    <w:qFormat/>
    <w:uiPriority w:val="0"/>
    <w:pPr>
      <w:autoSpaceDE w:val="0"/>
      <w:autoSpaceDN w:val="0"/>
      <w:adjustRightInd w:val="0"/>
    </w:pPr>
    <w:rPr>
      <w:rFonts w:ascii="Arial" w:hAnsi="Arial" w:cs="Arial" w:eastAsiaTheme="minorHAnsi"/>
      <w:color w:val="000000"/>
      <w:sz w:val="24"/>
      <w:szCs w:val="24"/>
      <w:lang w:val="en-US" w:eastAsia="en-US" w:bidi="ar-SA"/>
    </w:rPr>
  </w:style>
  <w:style w:type="character" w:customStyle="1" w:styleId="26">
    <w:name w:val="nlm_year"/>
    <w:basedOn w:val="6"/>
    <w:qFormat/>
    <w:uiPriority w:val="0"/>
  </w:style>
  <w:style w:type="character" w:customStyle="1" w:styleId="27">
    <w:name w:val="nlm_article-title"/>
    <w:basedOn w:val="6"/>
    <w:qFormat/>
    <w:uiPriority w:val="0"/>
  </w:style>
  <w:style w:type="character" w:customStyle="1" w:styleId="28">
    <w:name w:val="nlm_fpage"/>
    <w:basedOn w:val="6"/>
    <w:qFormat/>
    <w:uiPriority w:val="0"/>
  </w:style>
  <w:style w:type="character" w:customStyle="1" w:styleId="29">
    <w:name w:val="nlm_lpage"/>
    <w:basedOn w:val="6"/>
    <w:qFormat/>
    <w:uiPriority w:val="0"/>
  </w:style>
  <w:style w:type="character" w:customStyle="1" w:styleId="30">
    <w:name w:val="Header Char"/>
    <w:basedOn w:val="6"/>
    <w:link w:val="15"/>
    <w:qFormat/>
    <w:uiPriority w:val="99"/>
  </w:style>
  <w:style w:type="character" w:customStyle="1" w:styleId="31">
    <w:name w:val="Footer Char"/>
    <w:basedOn w:val="6"/>
    <w:link w:val="14"/>
    <w:qFormat/>
    <w:uiPriority w:val="99"/>
  </w:style>
  <w:style w:type="table" w:customStyle="1" w:styleId="32">
    <w:name w:val="Table Grid1"/>
    <w:basedOn w:val="7"/>
    <w:qFormat/>
    <w:uiPriority w:val="59"/>
    <w:rPr>
      <w:rFonts w:eastAsia="Times New Roman" w:cs="Times New Roman"/>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3">
    <w:name w:val="Comment Text Char"/>
    <w:basedOn w:val="6"/>
    <w:link w:val="11"/>
    <w:semiHidden/>
    <w:qFormat/>
    <w:uiPriority w:val="99"/>
    <w:rPr>
      <w:sz w:val="20"/>
      <w:szCs w:val="20"/>
    </w:rPr>
  </w:style>
  <w:style w:type="character" w:customStyle="1" w:styleId="34">
    <w:name w:val="Comment Subject Char"/>
    <w:basedOn w:val="33"/>
    <w:link w:val="12"/>
    <w:semiHidden/>
    <w:qFormat/>
    <w:uiPriority w:val="99"/>
    <w:rPr>
      <w:b/>
      <w:bCs/>
      <w:sz w:val="20"/>
      <w:szCs w:val="20"/>
    </w:rPr>
  </w:style>
  <w:style w:type="character" w:customStyle="1" w:styleId="35">
    <w:name w:val="Balloon Text Char"/>
    <w:basedOn w:val="6"/>
    <w:link w:val="8"/>
    <w:semiHidden/>
    <w:qFormat/>
    <w:uiPriority w:val="99"/>
    <w:rPr>
      <w:rFonts w:ascii="Segoe UI" w:hAnsi="Segoe UI" w:cs="Segoe UI"/>
      <w:sz w:val="18"/>
      <w:szCs w:val="18"/>
    </w:rPr>
  </w:style>
  <w:style w:type="paragraph" w:customStyle="1" w:styleId="36">
    <w:name w:val="Revision1"/>
    <w:hidden/>
    <w:semiHidden/>
    <w:qFormat/>
    <w:uiPriority w:val="99"/>
    <w:rPr>
      <w:rFonts w:asciiTheme="minorHAnsi" w:hAnsiTheme="minorHAnsi" w:eastAsiaTheme="minorHAnsi" w:cstheme="minorBidi"/>
      <w:sz w:val="22"/>
      <w:szCs w:val="22"/>
      <w:lang w:val="en-US" w:eastAsia="en-US" w:bidi="ar-SA"/>
    </w:rPr>
  </w:style>
  <w:style w:type="character" w:styleId="37">
    <w:name w:val="Placeholder Text"/>
    <w:basedOn w:val="6"/>
    <w:semiHidden/>
    <w:qFormat/>
    <w:uiPriority w:val="99"/>
    <w:rPr>
      <w:color w:val="808080"/>
    </w:rPr>
  </w:style>
  <w:style w:type="character" w:customStyle="1" w:styleId="38">
    <w:name w:val="Heading 1 Char"/>
    <w:basedOn w:val="6"/>
    <w:link w:val="2"/>
    <w:qFormat/>
    <w:uiPriority w:val="99"/>
    <w:rPr>
      <w:rFonts w:ascii="Arial" w:hAnsi="Arial" w:eastAsia="Calibri" w:cs="Arial"/>
      <w:sz w:val="24"/>
      <w:szCs w:val="24"/>
    </w:rPr>
  </w:style>
  <w:style w:type="character" w:customStyle="1" w:styleId="39">
    <w:name w:val="hgkelc"/>
    <w:basedOn w:val="6"/>
    <w:qFormat/>
    <w:uiPriority w:val="0"/>
  </w:style>
  <w:style w:type="character" w:customStyle="1" w:styleId="40">
    <w:name w:val="fontstyle21"/>
    <w:basedOn w:val="6"/>
    <w:qFormat/>
    <w:uiPriority w:val="0"/>
    <w:rPr>
      <w:rFonts w:hint="default" w:ascii="AdvTT5235d5a9" w:hAnsi="AdvTT5235d5a9"/>
      <w:color w:val="231F20"/>
      <w:sz w:val="14"/>
      <w:szCs w:val="14"/>
    </w:rPr>
  </w:style>
  <w:style w:type="character" w:customStyle="1" w:styleId="41">
    <w:name w:val="Heading 2 Char"/>
    <w:basedOn w:val="6"/>
    <w:link w:val="3"/>
    <w:uiPriority w:val="9"/>
    <w:rPr>
      <w:rFonts w:asciiTheme="majorHAnsi" w:hAnsiTheme="majorHAnsi" w:eastAsiaTheme="majorEastAsia" w:cstheme="majorBidi"/>
      <w:b/>
      <w:color w:val="000000" w:themeColor="text1"/>
      <w:sz w:val="26"/>
      <w:szCs w:val="26"/>
      <w14:textFill>
        <w14:solidFill>
          <w14:schemeClr w14:val="tx1"/>
        </w14:solidFill>
      </w14:textFill>
    </w:rPr>
  </w:style>
  <w:style w:type="paragraph" w:styleId="42">
    <w:name w:val="No Spacing"/>
    <w:qFormat/>
    <w:uiPriority w:val="1"/>
    <w:rPr>
      <w:rFonts w:asciiTheme="minorHAnsi" w:hAnsiTheme="minorHAnsi" w:eastAsiaTheme="minorHAnsi" w:cstheme="minorBidi"/>
      <w:sz w:val="22"/>
      <w:szCs w:val="22"/>
      <w:lang w:val="en-US" w:eastAsia="en-US" w:bidi="ar-SA"/>
    </w:rPr>
  </w:style>
  <w:style w:type="character" w:customStyle="1" w:styleId="43">
    <w:name w:val="Heading 3 Char"/>
    <w:basedOn w:val="6"/>
    <w:link w:val="4"/>
    <w:qFormat/>
    <w:uiPriority w:val="9"/>
    <w:rPr>
      <w:rFonts w:asciiTheme="majorHAnsi" w:hAnsiTheme="majorHAnsi" w:eastAsiaTheme="majorEastAsia" w:cstheme="majorBidi"/>
      <w:color w:val="203864" w:themeColor="accent1" w:themeShade="80"/>
      <w:sz w:val="24"/>
      <w:szCs w:val="24"/>
    </w:rPr>
  </w:style>
  <w:style w:type="character" w:customStyle="1" w:styleId="44">
    <w:name w:val="Heading 4 Char"/>
    <w:basedOn w:val="6"/>
    <w:link w:val="5"/>
    <w:qFormat/>
    <w:uiPriority w:val="9"/>
    <w:rPr>
      <w:rFonts w:asciiTheme="majorHAnsi" w:hAnsiTheme="majorHAnsi" w:eastAsiaTheme="majorEastAsia" w:cstheme="majorBidi"/>
      <w:i/>
      <w:iCs/>
      <w:color w:val="2F5597" w:themeColor="accent1" w:themeShade="BF"/>
    </w:rPr>
  </w:style>
  <w:style w:type="paragraph" w:customStyle="1" w:styleId="45">
    <w:name w:val="TOC Heading1"/>
    <w:basedOn w:val="2"/>
    <w:next w:val="1"/>
    <w:unhideWhenUsed/>
    <w:qFormat/>
    <w:uiPriority w:val="39"/>
    <w:pPr>
      <w:keepLines/>
      <w:spacing w:before="240" w:line="259" w:lineRule="auto"/>
      <w:jc w:val="left"/>
      <w:outlineLvl w:val="9"/>
    </w:pPr>
    <w:rPr>
      <w:rFonts w:asciiTheme="majorHAnsi" w:hAnsiTheme="majorHAnsi" w:eastAsiaTheme="majorEastAsia" w:cstheme="majorBidi"/>
      <w:color w:val="2F5597" w:themeColor="accent1" w:themeShade="BF"/>
      <w:sz w:val="32"/>
      <w:szCs w:val="32"/>
    </w:rPr>
  </w:style>
  <w:style w:type="character" w:customStyle="1" w:styleId="46">
    <w:name w:val="cf01"/>
    <w:basedOn w:val="6"/>
    <w:qFormat/>
    <w:uiPriority w:val="0"/>
    <w:rPr>
      <w:rFonts w:hint="default" w:ascii="Segoe UI" w:hAnsi="Segoe UI" w:cs="Segoe UI"/>
      <w:sz w:val="18"/>
      <w:szCs w:val="18"/>
    </w:rPr>
  </w:style>
  <w:style w:type="table" w:customStyle="1" w:styleId="47">
    <w:name w:val="Table Grid11"/>
    <w:basedOn w:val="7"/>
    <w:qFormat/>
    <w:uiPriority w:val="59"/>
    <w:rPr>
      <w:rFonts w:eastAsia="Times New Roman" w:cs="Times New Roman"/>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8">
    <w:name w:val="Table Grid12"/>
    <w:basedOn w:val="7"/>
    <w:qFormat/>
    <w:uiPriority w:val="59"/>
    <w:rPr>
      <w:rFonts w:eastAsia="Times New Roman" w:cs="Times New Roman"/>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49">
    <w:name w:val="markedcontent"/>
    <w:basedOn w:val="6"/>
    <w:qFormat/>
    <w:uiPriority w:val="0"/>
  </w:style>
  <w:style w:type="paragraph" w:customStyle="1" w:styleId="50">
    <w:name w:val="Revision2"/>
    <w:hidden/>
    <w:semiHidden/>
    <w:qFormat/>
    <w:uiPriority w:val="99"/>
    <w:rPr>
      <w:rFonts w:asciiTheme="minorHAnsi" w:hAnsiTheme="minorHAnsi" w:eastAsiaTheme="minorHAnsi" w:cstheme="minorBidi"/>
      <w:sz w:val="22"/>
      <w:szCs w:val="22"/>
      <w:lang w:val="en-US" w:eastAsia="en-US" w:bidi="ar-SA"/>
    </w:rPr>
  </w:style>
  <w:style w:type="paragraph" w:customStyle="1" w:styleId="51">
    <w:name w:val="TOC Heading2"/>
    <w:basedOn w:val="2"/>
    <w:next w:val="1"/>
    <w:unhideWhenUsed/>
    <w:qFormat/>
    <w:uiPriority w:val="39"/>
    <w:pPr>
      <w:keepLines/>
      <w:spacing w:before="240" w:line="259" w:lineRule="auto"/>
      <w:jc w:val="left"/>
      <w:outlineLvl w:val="9"/>
    </w:pPr>
    <w:rPr>
      <w:rFonts w:asciiTheme="majorHAnsi" w:hAnsiTheme="majorHAnsi" w:eastAsiaTheme="majorEastAsia" w:cstheme="majorBidi"/>
      <w:color w:val="2F5597" w:themeColor="accent1" w:themeShade="BF"/>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0" Type="http://schemas.openxmlformats.org/officeDocument/2006/relationships/fontTable" Target="fontTable.xml"/><Relationship Id="rId3" Type="http://schemas.openxmlformats.org/officeDocument/2006/relationships/footnotes" Target="footnotes.xml"/><Relationship Id="rId29" Type="http://schemas.openxmlformats.org/officeDocument/2006/relationships/customXml" Target="../customXml/item5.xml"/><Relationship Id="rId28" Type="http://schemas.openxmlformats.org/officeDocument/2006/relationships/customXml" Target="../customXml/item4.xml"/><Relationship Id="rId27" Type="http://schemas.openxmlformats.org/officeDocument/2006/relationships/customXml" Target="../customXml/item3.xml"/><Relationship Id="rId26" Type="http://schemas.openxmlformats.org/officeDocument/2006/relationships/customXml" Target="../customXml/item2.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4B424592D34914498431B65106F5018" ma:contentTypeVersion="15" ma:contentTypeDescription="Create a new document." ma:contentTypeScope="" ma:versionID="303e4e24d916eba808442eefb96b82ec">
  <xsd:schema xmlns:xsd="http://www.w3.org/2001/XMLSchema" xmlns:xs="http://www.w3.org/2001/XMLSchema" xmlns:p="http://schemas.microsoft.com/office/2006/metadata/properties" xmlns:ns3="3195903a-b6cf-4d13-a145-0254b42eb049" xmlns:ns4="56dbcd96-70e8-4b48-8060-9f0a5af812a4" targetNamespace="http://schemas.microsoft.com/office/2006/metadata/properties" ma:root="true" ma:fieldsID="0f2a0f068eaf024ec3fa37153a9ffcc1" ns3:_="" ns4:_="">
    <xsd:import namespace="3195903a-b6cf-4d13-a145-0254b42eb049"/>
    <xsd:import namespace="56dbcd96-70e8-4b48-8060-9f0a5af812a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4:SharedWithUsers" minOccurs="0"/>
                <xsd:element ref="ns4:SharedWithDetails" minOccurs="0"/>
                <xsd:element ref="ns4:SharingHintHash"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95903a-b6cf-4d13-a145-0254b42eb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6dbcd96-70e8-4b48-8060-9f0a5af812a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activity xmlns="3195903a-b6cf-4d13-a145-0254b42eb049" xsi:nil="true"/>
  </documentManagement>
</p: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473931F-CC70-4763-B3B7-AA96443B2036}">
  <ds:schemaRefs/>
</ds:datastoreItem>
</file>

<file path=customXml/itemProps3.xml><?xml version="1.0" encoding="utf-8"?>
<ds:datastoreItem xmlns:ds="http://schemas.openxmlformats.org/officeDocument/2006/customXml" ds:itemID="{21AC7F90-A78E-4FB4-8060-6DA86F75FE3B}">
  <ds:schemaRefs/>
</ds:datastoreItem>
</file>

<file path=customXml/itemProps4.xml><?xml version="1.0" encoding="utf-8"?>
<ds:datastoreItem xmlns:ds="http://schemas.openxmlformats.org/officeDocument/2006/customXml" ds:itemID="{12A5623B-8827-4711-BE2F-14425EC25A4A}">
  <ds:schemaRefs/>
</ds:datastoreItem>
</file>

<file path=customXml/itemProps5.xml><?xml version="1.0" encoding="utf-8"?>
<ds:datastoreItem xmlns:ds="http://schemas.openxmlformats.org/officeDocument/2006/customXml" ds:itemID="{E7D8B649-2D1C-4208-88EC-2D1D17473C6C}">
  <ds:schemaRefs/>
</ds:datastoreItem>
</file>

<file path=docProps/app.xml><?xml version="1.0" encoding="utf-8"?>
<Properties xmlns="http://schemas.openxmlformats.org/officeDocument/2006/extended-properties" xmlns:vt="http://schemas.openxmlformats.org/officeDocument/2006/docPropsVTypes">
  <Template>Normal.dotm</Template>
  <Pages>103</Pages>
  <Words>56874</Words>
  <Characters>324183</Characters>
  <Lines>2701</Lines>
  <Paragraphs>760</Paragraphs>
  <TotalTime>6</TotalTime>
  <ScaleCrop>false</ScaleCrop>
  <LinksUpToDate>false</LinksUpToDate>
  <CharactersWithSpaces>380297</CharactersWithSpaces>
  <Application>WPS Office_12.2.0.13201_F1E327BC-269C-435d-A152-05C5408002CA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2023-08-29T20:51:00Z</dcterms:created>
  <dc:creator>Windows User</dc:creator>
  <cp:lastModifiedBy>betty.mutesasira</cp:lastModifiedBy>
  <cp:lastPrinted>2023-08-13T01:32:00Z</cp:lastPrinted>
  <dcterms:modified xsi:type="dcterms:W3CDTF">2023-09-08T06:23:07Z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f6362972-4568-3293-bfde-b054daa97017</vt:lpwstr>
  </property>
  <property fmtid="{D5CDD505-2E9C-101B-9397-08002B2CF9AE}" pid="24" name="Mendeley Citation Style_1">
    <vt:lpwstr>http://www.zotero.org/styles/apa</vt:lpwstr>
  </property>
  <property fmtid="{D5CDD505-2E9C-101B-9397-08002B2CF9AE}" pid="25" name="KSOProductBuildVer">
    <vt:lpwstr>1033-12.2.0.13201</vt:lpwstr>
  </property>
  <property fmtid="{D5CDD505-2E9C-101B-9397-08002B2CF9AE}" pid="26" name="ICV">
    <vt:lpwstr>C7472B272F8345018E71977653C2A8FB_13</vt:lpwstr>
  </property>
  <property fmtid="{D5CDD505-2E9C-101B-9397-08002B2CF9AE}" pid="27" name="ContentTypeId">
    <vt:lpwstr>0x010100B4B424592D34914498431B65106F5018</vt:lpwstr>
  </property>
</Properties>
</file>